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4A0" w:firstRow="1" w:lastRow="0" w:firstColumn="1" w:lastColumn="0" w:noHBand="0" w:noVBand="1"/>
      </w:tblPr>
      <w:tblGrid>
        <w:gridCol w:w="1636"/>
        <w:gridCol w:w="2755"/>
        <w:gridCol w:w="1957"/>
        <w:gridCol w:w="2662"/>
      </w:tblGrid>
      <w:tr w:rsidR="005E590F" w:rsidRPr="00BF751F" w14:paraId="34FC8D8E" w14:textId="77777777" w:rsidTr="00702332">
        <w:trPr>
          <w:trHeight w:val="432"/>
        </w:trPr>
        <w:tc>
          <w:tcPr>
            <w:tcW w:w="908" w:type="pct"/>
            <w:tcBorders>
              <w:top w:val="double" w:sz="2" w:space="0" w:color="000000"/>
              <w:left w:val="double" w:sz="2" w:space="0" w:color="000000"/>
              <w:bottom w:val="double" w:sz="2" w:space="0" w:color="000000"/>
              <w:right w:val="nil"/>
            </w:tcBorders>
            <w:vAlign w:val="center"/>
            <w:hideMark/>
          </w:tcPr>
          <w:p w14:paraId="4034D59D" w14:textId="77777777" w:rsidR="005E590F" w:rsidRPr="00BF751F" w:rsidRDefault="005E590F" w:rsidP="00702332">
            <w:pPr>
              <w:rPr>
                <w:rFonts w:cstheme="minorHAnsi"/>
                <w:b/>
                <w:sz w:val="24"/>
              </w:rPr>
            </w:pPr>
            <w:r w:rsidRPr="00BF751F">
              <w:rPr>
                <w:rFonts w:cstheme="minorHAnsi"/>
                <w:b/>
                <w:sz w:val="24"/>
              </w:rPr>
              <w:t>Subject</w:t>
            </w:r>
          </w:p>
        </w:tc>
        <w:tc>
          <w:tcPr>
            <w:tcW w:w="4092" w:type="pct"/>
            <w:gridSpan w:val="3"/>
            <w:tcBorders>
              <w:top w:val="double" w:sz="2" w:space="0" w:color="000000"/>
              <w:left w:val="double" w:sz="2" w:space="0" w:color="000000"/>
              <w:bottom w:val="double" w:sz="2" w:space="0" w:color="000000"/>
              <w:right w:val="double" w:sz="2" w:space="0" w:color="000000"/>
            </w:tcBorders>
            <w:vAlign w:val="center"/>
          </w:tcPr>
          <w:p w14:paraId="45F3CC97" w14:textId="470ED629" w:rsidR="005E590F" w:rsidRPr="00460C84" w:rsidRDefault="00460C84" w:rsidP="00702332">
            <w:pPr>
              <w:rPr>
                <w:sz w:val="24"/>
                <w:szCs w:val="24"/>
              </w:rPr>
            </w:pPr>
            <w:r w:rsidRPr="00460C84">
              <w:rPr>
                <w:sz w:val="24"/>
                <w:szCs w:val="24"/>
              </w:rPr>
              <w:t>Report from the Region 1 Satellite Coordinator July 2020</w:t>
            </w:r>
          </w:p>
        </w:tc>
      </w:tr>
      <w:tr w:rsidR="005E590F" w:rsidRPr="00BF751F" w14:paraId="081E4D36" w14:textId="77777777" w:rsidTr="00702332">
        <w:trPr>
          <w:trHeight w:val="432"/>
        </w:trPr>
        <w:tc>
          <w:tcPr>
            <w:tcW w:w="908" w:type="pct"/>
            <w:tcBorders>
              <w:top w:val="double" w:sz="2" w:space="0" w:color="000000"/>
              <w:left w:val="double" w:sz="2" w:space="0" w:color="000000"/>
              <w:bottom w:val="double" w:sz="2" w:space="0" w:color="000000"/>
              <w:right w:val="nil"/>
            </w:tcBorders>
            <w:vAlign w:val="center"/>
            <w:hideMark/>
          </w:tcPr>
          <w:p w14:paraId="57CF4C1D" w14:textId="77777777" w:rsidR="005E590F" w:rsidRPr="00BF751F" w:rsidRDefault="005E590F" w:rsidP="00702332">
            <w:pPr>
              <w:rPr>
                <w:rFonts w:cstheme="minorHAnsi"/>
                <w:b/>
                <w:sz w:val="24"/>
              </w:rPr>
            </w:pPr>
            <w:r w:rsidRPr="00BF751F">
              <w:rPr>
                <w:rFonts w:cstheme="minorHAnsi"/>
                <w:b/>
                <w:sz w:val="24"/>
              </w:rPr>
              <w:t>Society</w:t>
            </w:r>
          </w:p>
        </w:tc>
        <w:tc>
          <w:tcPr>
            <w:tcW w:w="1529" w:type="pct"/>
            <w:tcBorders>
              <w:top w:val="double" w:sz="2" w:space="0" w:color="000000"/>
              <w:left w:val="double" w:sz="2" w:space="0" w:color="000000"/>
              <w:bottom w:val="double" w:sz="2" w:space="0" w:color="000000"/>
              <w:right w:val="nil"/>
            </w:tcBorders>
            <w:vAlign w:val="center"/>
          </w:tcPr>
          <w:p w14:paraId="46A7D1F8" w14:textId="036E4778" w:rsidR="005E590F" w:rsidRPr="00BF751F" w:rsidRDefault="00CD0AF6" w:rsidP="00702332">
            <w:pPr>
              <w:rPr>
                <w:rFonts w:cstheme="minorHAnsi"/>
                <w:sz w:val="24"/>
              </w:rPr>
            </w:pPr>
            <w:r>
              <w:rPr>
                <w:rFonts w:cstheme="minorHAnsi"/>
                <w:sz w:val="24"/>
              </w:rPr>
              <w:t>IARU Region 1</w:t>
            </w:r>
          </w:p>
        </w:tc>
        <w:tc>
          <w:tcPr>
            <w:tcW w:w="1086" w:type="pct"/>
            <w:tcBorders>
              <w:top w:val="double" w:sz="2" w:space="0" w:color="000000"/>
              <w:left w:val="double" w:sz="2" w:space="0" w:color="000000"/>
              <w:bottom w:val="double" w:sz="2" w:space="0" w:color="000000"/>
              <w:right w:val="nil"/>
            </w:tcBorders>
            <w:vAlign w:val="center"/>
            <w:hideMark/>
          </w:tcPr>
          <w:p w14:paraId="2F2F0457" w14:textId="77777777" w:rsidR="005E590F" w:rsidRPr="00BF751F" w:rsidRDefault="005E590F" w:rsidP="00702332">
            <w:pPr>
              <w:rPr>
                <w:rFonts w:cstheme="minorHAnsi"/>
                <w:b/>
                <w:sz w:val="24"/>
              </w:rPr>
            </w:pPr>
            <w:r w:rsidRPr="00BF751F">
              <w:rPr>
                <w:rFonts w:cstheme="minorHAnsi"/>
                <w:b/>
                <w:sz w:val="24"/>
              </w:rPr>
              <w:t>Country:</w:t>
            </w:r>
          </w:p>
        </w:tc>
        <w:tc>
          <w:tcPr>
            <w:tcW w:w="1477" w:type="pct"/>
            <w:tcBorders>
              <w:top w:val="double" w:sz="2" w:space="0" w:color="000000"/>
              <w:left w:val="double" w:sz="2" w:space="0" w:color="000000"/>
              <w:bottom w:val="double" w:sz="2" w:space="0" w:color="000000"/>
              <w:right w:val="double" w:sz="2" w:space="0" w:color="000000"/>
            </w:tcBorders>
            <w:vAlign w:val="center"/>
          </w:tcPr>
          <w:p w14:paraId="39C65100" w14:textId="541AE706" w:rsidR="005E590F" w:rsidRPr="00BF751F" w:rsidRDefault="00175E07" w:rsidP="00702332">
            <w:pPr>
              <w:rPr>
                <w:rFonts w:cstheme="minorHAnsi"/>
                <w:sz w:val="24"/>
              </w:rPr>
            </w:pPr>
            <w:r>
              <w:rPr>
                <w:rFonts w:cstheme="minorHAnsi"/>
                <w:sz w:val="24"/>
              </w:rPr>
              <w:t>N/A</w:t>
            </w:r>
          </w:p>
        </w:tc>
      </w:tr>
      <w:tr w:rsidR="005E590F" w:rsidRPr="00BF751F" w14:paraId="647FA518" w14:textId="77777777" w:rsidTr="00702332">
        <w:trPr>
          <w:trHeight w:val="432"/>
        </w:trPr>
        <w:tc>
          <w:tcPr>
            <w:tcW w:w="908" w:type="pct"/>
            <w:tcBorders>
              <w:top w:val="double" w:sz="2" w:space="0" w:color="000000"/>
              <w:left w:val="double" w:sz="2" w:space="0" w:color="000000"/>
              <w:bottom w:val="double" w:sz="2" w:space="0" w:color="000000"/>
              <w:right w:val="nil"/>
            </w:tcBorders>
            <w:vAlign w:val="center"/>
            <w:hideMark/>
          </w:tcPr>
          <w:p w14:paraId="0D84CCCA" w14:textId="77777777" w:rsidR="005E590F" w:rsidRPr="00BF751F" w:rsidRDefault="005E590F" w:rsidP="00702332">
            <w:pPr>
              <w:rPr>
                <w:rFonts w:cstheme="minorHAnsi"/>
                <w:b/>
                <w:sz w:val="24"/>
              </w:rPr>
            </w:pPr>
            <w:r w:rsidRPr="00BF751F">
              <w:rPr>
                <w:rFonts w:cstheme="minorHAnsi"/>
                <w:b/>
                <w:sz w:val="24"/>
              </w:rPr>
              <w:t>Committee:</w:t>
            </w:r>
          </w:p>
        </w:tc>
        <w:tc>
          <w:tcPr>
            <w:tcW w:w="1529" w:type="pct"/>
            <w:tcBorders>
              <w:top w:val="double" w:sz="2" w:space="0" w:color="000000"/>
              <w:left w:val="double" w:sz="2" w:space="0" w:color="000000"/>
              <w:bottom w:val="double" w:sz="2" w:space="0" w:color="000000"/>
              <w:right w:val="nil"/>
            </w:tcBorders>
            <w:vAlign w:val="center"/>
          </w:tcPr>
          <w:p w14:paraId="3AB10F64" w14:textId="645B1AD9" w:rsidR="005E590F" w:rsidRPr="00BF751F" w:rsidRDefault="00175E07" w:rsidP="00702332">
            <w:pPr>
              <w:rPr>
                <w:rFonts w:cstheme="minorHAnsi"/>
                <w:sz w:val="24"/>
              </w:rPr>
            </w:pPr>
            <w:r>
              <w:rPr>
                <w:rFonts w:cstheme="minorHAnsi"/>
                <w:sz w:val="24"/>
              </w:rPr>
              <w:t>C5</w:t>
            </w:r>
          </w:p>
        </w:tc>
        <w:tc>
          <w:tcPr>
            <w:tcW w:w="1086" w:type="pct"/>
            <w:tcBorders>
              <w:top w:val="double" w:sz="2" w:space="0" w:color="000000"/>
              <w:left w:val="double" w:sz="2" w:space="0" w:color="000000"/>
              <w:bottom w:val="double" w:sz="2" w:space="0" w:color="000000"/>
              <w:right w:val="nil"/>
            </w:tcBorders>
            <w:vAlign w:val="center"/>
            <w:hideMark/>
          </w:tcPr>
          <w:p w14:paraId="35A83709" w14:textId="77777777" w:rsidR="005E590F" w:rsidRPr="00BF751F" w:rsidRDefault="005E590F" w:rsidP="00702332">
            <w:pPr>
              <w:rPr>
                <w:rFonts w:cstheme="minorHAnsi"/>
                <w:b/>
                <w:sz w:val="24"/>
              </w:rPr>
            </w:pPr>
            <w:r w:rsidRPr="00BF751F">
              <w:rPr>
                <w:rFonts w:cstheme="minorHAnsi"/>
                <w:b/>
                <w:sz w:val="24"/>
              </w:rPr>
              <w:t>Paper number:</w:t>
            </w:r>
          </w:p>
        </w:tc>
        <w:tc>
          <w:tcPr>
            <w:tcW w:w="1477" w:type="pct"/>
            <w:tcBorders>
              <w:top w:val="double" w:sz="2" w:space="0" w:color="000000"/>
              <w:left w:val="double" w:sz="2" w:space="0" w:color="000000"/>
              <w:bottom w:val="double" w:sz="2" w:space="0" w:color="000000"/>
              <w:right w:val="double" w:sz="2" w:space="0" w:color="000000"/>
            </w:tcBorders>
            <w:vAlign w:val="center"/>
            <w:hideMark/>
          </w:tcPr>
          <w:p w14:paraId="11542798" w14:textId="79EA542D" w:rsidR="005E590F" w:rsidRPr="00BF751F" w:rsidRDefault="00175E07" w:rsidP="00702332">
            <w:pPr>
              <w:rPr>
                <w:rFonts w:cstheme="minorHAnsi"/>
                <w:i/>
                <w:sz w:val="24"/>
              </w:rPr>
            </w:pPr>
            <w:r>
              <w:rPr>
                <w:rFonts w:cstheme="minorHAnsi"/>
                <w:iCs/>
                <w:sz w:val="24"/>
              </w:rPr>
              <w:t>NS20_C5_0</w:t>
            </w:r>
            <w:r w:rsidR="00460C84">
              <w:rPr>
                <w:rFonts w:cstheme="minorHAnsi"/>
                <w:iCs/>
                <w:sz w:val="24"/>
              </w:rPr>
              <w:t>4</w:t>
            </w:r>
          </w:p>
        </w:tc>
      </w:tr>
      <w:tr w:rsidR="005E590F" w:rsidRPr="00BF751F" w14:paraId="55720674" w14:textId="77777777" w:rsidTr="00702332">
        <w:trPr>
          <w:trHeight w:val="432"/>
        </w:trPr>
        <w:tc>
          <w:tcPr>
            <w:tcW w:w="908" w:type="pct"/>
            <w:tcBorders>
              <w:top w:val="double" w:sz="2" w:space="0" w:color="000000"/>
              <w:left w:val="double" w:sz="2" w:space="0" w:color="000000"/>
              <w:bottom w:val="double" w:sz="2" w:space="0" w:color="000000"/>
              <w:right w:val="nil"/>
            </w:tcBorders>
            <w:vAlign w:val="center"/>
            <w:hideMark/>
          </w:tcPr>
          <w:p w14:paraId="0FED7060" w14:textId="77777777" w:rsidR="005E590F" w:rsidRPr="00BF751F" w:rsidRDefault="005E590F" w:rsidP="00702332">
            <w:pPr>
              <w:rPr>
                <w:rFonts w:cstheme="minorHAnsi"/>
                <w:b/>
                <w:sz w:val="24"/>
              </w:rPr>
            </w:pPr>
            <w:r w:rsidRPr="00BF751F">
              <w:rPr>
                <w:rFonts w:cstheme="minorHAnsi"/>
                <w:b/>
                <w:sz w:val="24"/>
              </w:rPr>
              <w:t>Author:</w:t>
            </w:r>
          </w:p>
        </w:tc>
        <w:tc>
          <w:tcPr>
            <w:tcW w:w="4092" w:type="pct"/>
            <w:gridSpan w:val="3"/>
            <w:tcBorders>
              <w:top w:val="double" w:sz="2" w:space="0" w:color="000000"/>
              <w:left w:val="double" w:sz="2" w:space="0" w:color="000000"/>
              <w:bottom w:val="double" w:sz="2" w:space="0" w:color="000000"/>
              <w:right w:val="double" w:sz="2" w:space="0" w:color="000000"/>
            </w:tcBorders>
            <w:vAlign w:val="center"/>
          </w:tcPr>
          <w:p w14:paraId="22FCC082" w14:textId="64B4FC07" w:rsidR="005E590F" w:rsidRPr="00BF751F" w:rsidRDefault="00460C84" w:rsidP="00702332">
            <w:pPr>
              <w:rPr>
                <w:rFonts w:cstheme="minorHAnsi"/>
                <w:sz w:val="24"/>
              </w:rPr>
            </w:pPr>
            <w:r>
              <w:rPr>
                <w:rFonts w:ascii="Arial" w:hAnsi="Arial" w:cs="Arial"/>
                <w:bCs/>
                <w:sz w:val="24"/>
              </w:rPr>
              <w:t xml:space="preserve">Graham </w:t>
            </w:r>
            <w:proofErr w:type="spellStart"/>
            <w:r>
              <w:rPr>
                <w:rFonts w:ascii="Arial" w:hAnsi="Arial" w:cs="Arial"/>
                <w:bCs/>
                <w:sz w:val="24"/>
              </w:rPr>
              <w:t>Shirville</w:t>
            </w:r>
            <w:proofErr w:type="spellEnd"/>
            <w:r>
              <w:rPr>
                <w:rFonts w:ascii="Arial" w:hAnsi="Arial" w:cs="Arial"/>
                <w:bCs/>
                <w:sz w:val="24"/>
              </w:rPr>
              <w:t>, G3VZV</w:t>
            </w:r>
          </w:p>
        </w:tc>
      </w:tr>
    </w:tbl>
    <w:p w14:paraId="126E7812" w14:textId="77777777" w:rsidR="005E590F" w:rsidRPr="00BF751F" w:rsidRDefault="005E590F" w:rsidP="005E590F">
      <w:pPr>
        <w:rPr>
          <w:rFonts w:cstheme="minorHAnsi"/>
          <w:sz w:val="24"/>
        </w:rPr>
      </w:pPr>
    </w:p>
    <w:p w14:paraId="245B3E24" w14:textId="0E357B14" w:rsidR="00460C84" w:rsidRDefault="00460C84" w:rsidP="00460C84">
      <w:pPr>
        <w:rPr>
          <w:b/>
          <w:sz w:val="20"/>
        </w:rPr>
      </w:pPr>
      <w:r w:rsidRPr="00930B03">
        <w:rPr>
          <w:b/>
          <w:sz w:val="20"/>
        </w:rPr>
        <w:t>Current satellites</w:t>
      </w:r>
    </w:p>
    <w:p w14:paraId="4D661FF6" w14:textId="34BF5C46" w:rsidR="00460C84" w:rsidRDefault="00460C84" w:rsidP="00460C84">
      <w:pPr>
        <w:rPr>
          <w:sz w:val="20"/>
        </w:rPr>
      </w:pPr>
      <w:r>
        <w:rPr>
          <w:sz w:val="20"/>
        </w:rPr>
        <w:t xml:space="preserve">There are currently </w:t>
      </w:r>
      <w:proofErr w:type="gramStart"/>
      <w:r w:rsidRPr="003172DE">
        <w:rPr>
          <w:bCs/>
          <w:sz w:val="20"/>
        </w:rPr>
        <w:t>twenty two</w:t>
      </w:r>
      <w:proofErr w:type="gramEnd"/>
      <w:r w:rsidRPr="003172DE">
        <w:rPr>
          <w:bCs/>
          <w:sz w:val="20"/>
        </w:rPr>
        <w:t xml:space="preserve"> </w:t>
      </w:r>
      <w:r>
        <w:rPr>
          <w:sz w:val="20"/>
        </w:rPr>
        <w:t>OSCAR satellites, all except QO-100, in low earth orbit carrying amateur radio voice transponders:</w:t>
      </w:r>
    </w:p>
    <w:p w14:paraId="61E4F9E8" w14:textId="77777777" w:rsidR="00460C84" w:rsidRDefault="00460C84" w:rsidP="00460C84">
      <w:pPr>
        <w:rPr>
          <w:sz w:val="20"/>
        </w:rPr>
      </w:pPr>
      <w:r>
        <w:rPr>
          <w:sz w:val="20"/>
        </w:rPr>
        <w:t xml:space="preserve">AO7 </w:t>
      </w:r>
      <w:r>
        <w:rPr>
          <w:sz w:val="20"/>
        </w:rPr>
        <w:tab/>
      </w:r>
      <w:r>
        <w:rPr>
          <w:sz w:val="20"/>
        </w:rPr>
        <w:tab/>
      </w:r>
      <w:r>
        <w:rPr>
          <w:sz w:val="20"/>
        </w:rPr>
        <w:tab/>
      </w:r>
      <w:r>
        <w:rPr>
          <w:sz w:val="20"/>
        </w:rPr>
        <w:tab/>
      </w:r>
      <w:r>
        <w:rPr>
          <w:sz w:val="20"/>
        </w:rPr>
        <w:tab/>
        <w:t>– Linear transponders – launched in 1974</w:t>
      </w:r>
    </w:p>
    <w:p w14:paraId="28541572" w14:textId="77777777" w:rsidR="00460C84" w:rsidRDefault="00460C84" w:rsidP="00460C84">
      <w:pPr>
        <w:rPr>
          <w:sz w:val="20"/>
        </w:rPr>
      </w:pPr>
      <w:r>
        <w:rPr>
          <w:sz w:val="20"/>
        </w:rPr>
        <w:t>FO</w:t>
      </w:r>
      <w:proofErr w:type="gramStart"/>
      <w:r>
        <w:rPr>
          <w:sz w:val="20"/>
        </w:rPr>
        <w:t xml:space="preserve">29  </w:t>
      </w:r>
      <w:r>
        <w:rPr>
          <w:sz w:val="20"/>
        </w:rPr>
        <w:tab/>
      </w:r>
      <w:proofErr w:type="gramEnd"/>
      <w:r>
        <w:rPr>
          <w:sz w:val="20"/>
        </w:rPr>
        <w:tab/>
      </w:r>
      <w:r>
        <w:rPr>
          <w:sz w:val="20"/>
        </w:rPr>
        <w:tab/>
      </w:r>
      <w:r>
        <w:rPr>
          <w:sz w:val="20"/>
        </w:rPr>
        <w:tab/>
      </w:r>
      <w:r>
        <w:rPr>
          <w:sz w:val="20"/>
        </w:rPr>
        <w:tab/>
        <w:t xml:space="preserve">- Linear transponder </w:t>
      </w:r>
    </w:p>
    <w:p w14:paraId="3CC779ED" w14:textId="77777777" w:rsidR="00460C84" w:rsidRDefault="00460C84" w:rsidP="00460C84">
      <w:pPr>
        <w:rPr>
          <w:sz w:val="20"/>
        </w:rPr>
      </w:pPr>
      <w:r>
        <w:rPr>
          <w:sz w:val="20"/>
        </w:rPr>
        <w:t xml:space="preserve">SO50 </w:t>
      </w:r>
      <w:r>
        <w:rPr>
          <w:sz w:val="20"/>
        </w:rPr>
        <w:tab/>
      </w:r>
      <w:r>
        <w:rPr>
          <w:sz w:val="20"/>
        </w:rPr>
        <w:tab/>
      </w:r>
      <w:r>
        <w:rPr>
          <w:sz w:val="20"/>
        </w:rPr>
        <w:tab/>
      </w:r>
      <w:r>
        <w:rPr>
          <w:sz w:val="20"/>
        </w:rPr>
        <w:tab/>
      </w:r>
      <w:r>
        <w:rPr>
          <w:sz w:val="20"/>
        </w:rPr>
        <w:tab/>
        <w:t xml:space="preserve">– FM transponder </w:t>
      </w:r>
    </w:p>
    <w:p w14:paraId="4B9D45D3" w14:textId="77777777" w:rsidR="00460C84" w:rsidRPr="00967BDC" w:rsidRDefault="00460C84" w:rsidP="00460C84">
      <w:pPr>
        <w:rPr>
          <w:sz w:val="20"/>
        </w:rPr>
      </w:pPr>
      <w:r w:rsidRPr="00A10C15">
        <w:rPr>
          <w:sz w:val="20"/>
        </w:rPr>
        <w:t xml:space="preserve">AO73/FUNcube-1 </w:t>
      </w:r>
      <w:r w:rsidRPr="00A10C15">
        <w:rPr>
          <w:sz w:val="20"/>
        </w:rPr>
        <w:tab/>
      </w:r>
      <w:r w:rsidRPr="00A10C15">
        <w:rPr>
          <w:sz w:val="20"/>
        </w:rPr>
        <w:tab/>
      </w:r>
      <w:r>
        <w:rPr>
          <w:sz w:val="20"/>
        </w:rPr>
        <w:tab/>
        <w:t>- L</w:t>
      </w:r>
      <w:r w:rsidRPr="00A10C15">
        <w:rPr>
          <w:sz w:val="20"/>
        </w:rPr>
        <w:t xml:space="preserve">inear transponder </w:t>
      </w:r>
      <w:r>
        <w:rPr>
          <w:sz w:val="20"/>
        </w:rPr>
        <w:t xml:space="preserve">and educational telemetry </w:t>
      </w:r>
    </w:p>
    <w:p w14:paraId="6B8C897D" w14:textId="77777777" w:rsidR="00460C84" w:rsidRPr="00460C84" w:rsidRDefault="00460C84" w:rsidP="00460C84">
      <w:pPr>
        <w:rPr>
          <w:sz w:val="20"/>
          <w:lang w:val="de-DE"/>
        </w:rPr>
      </w:pPr>
      <w:r w:rsidRPr="00460C84">
        <w:rPr>
          <w:sz w:val="20"/>
          <w:lang w:val="de-DE"/>
        </w:rPr>
        <w:t>IO86 /LapanA2</w:t>
      </w:r>
      <w:r w:rsidRPr="00460C84">
        <w:rPr>
          <w:sz w:val="20"/>
          <w:lang w:val="de-DE"/>
        </w:rPr>
        <w:tab/>
      </w:r>
      <w:r w:rsidRPr="00460C84">
        <w:rPr>
          <w:sz w:val="20"/>
          <w:lang w:val="de-DE"/>
        </w:rPr>
        <w:tab/>
      </w:r>
      <w:r w:rsidRPr="00460C84">
        <w:rPr>
          <w:sz w:val="20"/>
          <w:lang w:val="de-DE"/>
        </w:rPr>
        <w:tab/>
      </w:r>
      <w:r w:rsidRPr="00460C84">
        <w:rPr>
          <w:sz w:val="20"/>
          <w:lang w:val="de-DE"/>
        </w:rPr>
        <w:tab/>
        <w:t xml:space="preserve">- FM </w:t>
      </w:r>
      <w:proofErr w:type="spellStart"/>
      <w:r w:rsidRPr="00460C84">
        <w:rPr>
          <w:sz w:val="20"/>
          <w:lang w:val="de-DE"/>
        </w:rPr>
        <w:t>transponder</w:t>
      </w:r>
      <w:proofErr w:type="spellEnd"/>
    </w:p>
    <w:p w14:paraId="09837873" w14:textId="77777777" w:rsidR="00460C84" w:rsidRPr="00460C84" w:rsidRDefault="00460C84" w:rsidP="00460C84">
      <w:pPr>
        <w:rPr>
          <w:sz w:val="20"/>
          <w:lang w:val="de-DE"/>
        </w:rPr>
      </w:pPr>
      <w:r w:rsidRPr="00460C84">
        <w:rPr>
          <w:sz w:val="20"/>
          <w:lang w:val="de-DE"/>
        </w:rPr>
        <w:t>LilacSat-1</w:t>
      </w:r>
      <w:r w:rsidRPr="00460C84">
        <w:rPr>
          <w:sz w:val="20"/>
          <w:lang w:val="de-DE"/>
        </w:rPr>
        <w:tab/>
      </w:r>
      <w:r w:rsidRPr="00460C84">
        <w:rPr>
          <w:sz w:val="20"/>
          <w:lang w:val="de-DE"/>
        </w:rPr>
        <w:tab/>
      </w:r>
      <w:r w:rsidRPr="00460C84">
        <w:rPr>
          <w:sz w:val="20"/>
          <w:lang w:val="de-DE"/>
        </w:rPr>
        <w:tab/>
      </w:r>
      <w:r w:rsidRPr="00460C84">
        <w:rPr>
          <w:sz w:val="20"/>
          <w:lang w:val="de-DE"/>
        </w:rPr>
        <w:tab/>
        <w:t xml:space="preserve">- FM </w:t>
      </w:r>
      <w:proofErr w:type="spellStart"/>
      <w:r w:rsidRPr="00460C84">
        <w:rPr>
          <w:sz w:val="20"/>
          <w:lang w:val="de-DE"/>
        </w:rPr>
        <w:t>transponder</w:t>
      </w:r>
      <w:proofErr w:type="spellEnd"/>
    </w:p>
    <w:p w14:paraId="13B086F5" w14:textId="77777777" w:rsidR="00460C84" w:rsidRDefault="00460C84" w:rsidP="00460C84">
      <w:pPr>
        <w:rPr>
          <w:sz w:val="20"/>
        </w:rPr>
      </w:pPr>
      <w:r>
        <w:rPr>
          <w:sz w:val="20"/>
        </w:rPr>
        <w:t xml:space="preserve">LilacSat-2 </w:t>
      </w:r>
      <w:r>
        <w:rPr>
          <w:sz w:val="20"/>
        </w:rPr>
        <w:tab/>
      </w:r>
      <w:r>
        <w:rPr>
          <w:sz w:val="20"/>
        </w:rPr>
        <w:tab/>
      </w:r>
      <w:r>
        <w:rPr>
          <w:sz w:val="20"/>
        </w:rPr>
        <w:tab/>
      </w:r>
      <w:r>
        <w:rPr>
          <w:sz w:val="20"/>
        </w:rPr>
        <w:tab/>
        <w:t>- FM transponder (not available in Region 1)</w:t>
      </w:r>
    </w:p>
    <w:p w14:paraId="76361ACD" w14:textId="77777777" w:rsidR="00460C84" w:rsidRDefault="00460C84" w:rsidP="00460C84">
      <w:pPr>
        <w:rPr>
          <w:sz w:val="20"/>
        </w:rPr>
      </w:pPr>
      <w:r>
        <w:rPr>
          <w:sz w:val="20"/>
        </w:rPr>
        <w:t>EO88/</w:t>
      </w:r>
      <w:proofErr w:type="spellStart"/>
      <w:r>
        <w:rPr>
          <w:sz w:val="20"/>
        </w:rPr>
        <w:t>Nayif</w:t>
      </w:r>
      <w:proofErr w:type="spellEnd"/>
      <w:r>
        <w:rPr>
          <w:sz w:val="20"/>
        </w:rPr>
        <w:t xml:space="preserve"> </w:t>
      </w:r>
      <w:r>
        <w:rPr>
          <w:sz w:val="20"/>
        </w:rPr>
        <w:tab/>
      </w:r>
      <w:r>
        <w:rPr>
          <w:sz w:val="20"/>
        </w:rPr>
        <w:tab/>
      </w:r>
      <w:r>
        <w:rPr>
          <w:sz w:val="20"/>
        </w:rPr>
        <w:tab/>
      </w:r>
      <w:r>
        <w:rPr>
          <w:sz w:val="20"/>
        </w:rPr>
        <w:tab/>
        <w:t xml:space="preserve">- Linear transponder and educational telemetry </w:t>
      </w:r>
    </w:p>
    <w:p w14:paraId="14AF1459" w14:textId="77777777" w:rsidR="00460C84" w:rsidRDefault="00460C84" w:rsidP="00460C84">
      <w:pPr>
        <w:rPr>
          <w:sz w:val="20"/>
        </w:rPr>
      </w:pPr>
      <w:r>
        <w:rPr>
          <w:sz w:val="20"/>
        </w:rPr>
        <w:t xml:space="preserve">XW2A </w:t>
      </w:r>
      <w:r>
        <w:rPr>
          <w:sz w:val="20"/>
        </w:rPr>
        <w:tab/>
      </w:r>
      <w:r>
        <w:rPr>
          <w:sz w:val="20"/>
        </w:rPr>
        <w:tab/>
      </w:r>
      <w:r>
        <w:rPr>
          <w:sz w:val="20"/>
        </w:rPr>
        <w:tab/>
      </w:r>
      <w:r>
        <w:rPr>
          <w:sz w:val="20"/>
        </w:rPr>
        <w:tab/>
      </w:r>
      <w:r>
        <w:rPr>
          <w:sz w:val="20"/>
        </w:rPr>
        <w:tab/>
        <w:t>- Linear transponder</w:t>
      </w:r>
    </w:p>
    <w:p w14:paraId="1BAC6723" w14:textId="77777777" w:rsidR="00460C84" w:rsidRDefault="00460C84" w:rsidP="00460C84">
      <w:pPr>
        <w:rPr>
          <w:sz w:val="20"/>
        </w:rPr>
      </w:pPr>
      <w:r>
        <w:rPr>
          <w:sz w:val="20"/>
        </w:rPr>
        <w:t>XW2B</w:t>
      </w:r>
      <w:r w:rsidRPr="0028746E">
        <w:rPr>
          <w:sz w:val="20"/>
        </w:rPr>
        <w:t xml:space="preserve"> </w:t>
      </w:r>
      <w:r>
        <w:rPr>
          <w:sz w:val="20"/>
        </w:rPr>
        <w:tab/>
      </w:r>
      <w:r>
        <w:rPr>
          <w:sz w:val="20"/>
        </w:rPr>
        <w:tab/>
      </w:r>
      <w:r>
        <w:rPr>
          <w:sz w:val="20"/>
        </w:rPr>
        <w:tab/>
      </w:r>
      <w:r>
        <w:rPr>
          <w:sz w:val="20"/>
        </w:rPr>
        <w:tab/>
      </w:r>
      <w:r>
        <w:rPr>
          <w:sz w:val="20"/>
        </w:rPr>
        <w:tab/>
      </w:r>
      <w:bookmarkStart w:id="0" w:name="_Hlk44249648"/>
      <w:r>
        <w:rPr>
          <w:sz w:val="20"/>
        </w:rPr>
        <w:t>- Linear transponder</w:t>
      </w:r>
      <w:bookmarkEnd w:id="0"/>
    </w:p>
    <w:p w14:paraId="3FFD6429" w14:textId="77777777" w:rsidR="00460C84" w:rsidRDefault="00460C84" w:rsidP="00460C84">
      <w:pPr>
        <w:rPr>
          <w:sz w:val="20"/>
        </w:rPr>
      </w:pPr>
      <w:r>
        <w:rPr>
          <w:sz w:val="20"/>
        </w:rPr>
        <w:t xml:space="preserve">XW-2C </w:t>
      </w:r>
      <w:r>
        <w:rPr>
          <w:sz w:val="20"/>
        </w:rPr>
        <w:tab/>
      </w:r>
      <w:r>
        <w:rPr>
          <w:sz w:val="20"/>
        </w:rPr>
        <w:tab/>
      </w:r>
      <w:r>
        <w:rPr>
          <w:sz w:val="20"/>
        </w:rPr>
        <w:tab/>
      </w:r>
      <w:r>
        <w:rPr>
          <w:sz w:val="20"/>
        </w:rPr>
        <w:tab/>
      </w:r>
      <w:r>
        <w:rPr>
          <w:sz w:val="20"/>
        </w:rPr>
        <w:tab/>
        <w:t>- Linear transponder</w:t>
      </w:r>
    </w:p>
    <w:p w14:paraId="76F84671" w14:textId="77777777" w:rsidR="00460C84" w:rsidRPr="00B0179C" w:rsidRDefault="00460C84" w:rsidP="00460C84">
      <w:pPr>
        <w:rPr>
          <w:sz w:val="20"/>
        </w:rPr>
      </w:pPr>
      <w:r w:rsidRPr="00B0179C">
        <w:rPr>
          <w:sz w:val="20"/>
        </w:rPr>
        <w:t xml:space="preserve">XW-2D </w:t>
      </w:r>
      <w:r w:rsidRPr="00B0179C">
        <w:rPr>
          <w:sz w:val="20"/>
        </w:rPr>
        <w:tab/>
      </w:r>
      <w:r w:rsidRPr="00B0179C">
        <w:rPr>
          <w:sz w:val="20"/>
        </w:rPr>
        <w:tab/>
      </w:r>
      <w:r w:rsidRPr="00B0179C">
        <w:rPr>
          <w:sz w:val="20"/>
        </w:rPr>
        <w:tab/>
      </w:r>
      <w:r w:rsidRPr="00B0179C">
        <w:rPr>
          <w:sz w:val="20"/>
        </w:rPr>
        <w:tab/>
      </w:r>
      <w:r w:rsidRPr="00B0179C">
        <w:rPr>
          <w:sz w:val="20"/>
        </w:rPr>
        <w:tab/>
        <w:t>- Linear transponder</w:t>
      </w:r>
    </w:p>
    <w:p w14:paraId="2DB35D2E" w14:textId="2C43B123" w:rsidR="00460C84" w:rsidRDefault="00460C84" w:rsidP="00460C84">
      <w:pPr>
        <w:rPr>
          <w:sz w:val="20"/>
        </w:rPr>
      </w:pPr>
      <w:r>
        <w:rPr>
          <w:sz w:val="20"/>
        </w:rPr>
        <w:t>XW-2</w:t>
      </w:r>
      <w:proofErr w:type="gramStart"/>
      <w:r>
        <w:rPr>
          <w:sz w:val="20"/>
        </w:rPr>
        <w:t>F</w:t>
      </w:r>
      <w:r w:rsidRPr="0028746E">
        <w:rPr>
          <w:sz w:val="20"/>
        </w:rPr>
        <w:t xml:space="preserve"> </w:t>
      </w:r>
      <w:r>
        <w:rPr>
          <w:sz w:val="20"/>
        </w:rPr>
        <w:t xml:space="preserve"> </w:t>
      </w:r>
      <w:r>
        <w:rPr>
          <w:sz w:val="20"/>
        </w:rPr>
        <w:tab/>
      </w:r>
      <w:proofErr w:type="gramEnd"/>
      <w:r>
        <w:rPr>
          <w:sz w:val="20"/>
        </w:rPr>
        <w:tab/>
      </w:r>
      <w:r>
        <w:rPr>
          <w:sz w:val="20"/>
        </w:rPr>
        <w:tab/>
      </w:r>
      <w:r>
        <w:rPr>
          <w:sz w:val="20"/>
        </w:rPr>
        <w:tab/>
      </w:r>
      <w:bookmarkStart w:id="1" w:name="_Hlk504570216"/>
      <w:r>
        <w:rPr>
          <w:sz w:val="20"/>
        </w:rPr>
        <w:tab/>
        <w:t>- Linear transponder</w:t>
      </w:r>
      <w:bookmarkEnd w:id="1"/>
    </w:p>
    <w:p w14:paraId="550A7890" w14:textId="3BEF5F09" w:rsidR="00460C84" w:rsidRDefault="00460C84" w:rsidP="00460C84">
      <w:pPr>
        <w:rPr>
          <w:sz w:val="20"/>
        </w:rPr>
      </w:pPr>
      <w:r>
        <w:rPr>
          <w:sz w:val="20"/>
        </w:rPr>
        <w:t>CAS-4A</w:t>
      </w:r>
      <w:r>
        <w:rPr>
          <w:sz w:val="20"/>
        </w:rPr>
        <w:tab/>
      </w:r>
      <w:r>
        <w:rPr>
          <w:sz w:val="20"/>
        </w:rPr>
        <w:tab/>
      </w:r>
      <w:r>
        <w:rPr>
          <w:sz w:val="20"/>
        </w:rPr>
        <w:tab/>
      </w:r>
      <w:r>
        <w:rPr>
          <w:sz w:val="20"/>
        </w:rPr>
        <w:tab/>
      </w:r>
      <w:r>
        <w:rPr>
          <w:sz w:val="20"/>
        </w:rPr>
        <w:tab/>
        <w:t>- Linear transponder</w:t>
      </w:r>
    </w:p>
    <w:p w14:paraId="0DC017C3" w14:textId="691DB582" w:rsidR="00460C84" w:rsidRDefault="00460C84" w:rsidP="00460C84">
      <w:pPr>
        <w:rPr>
          <w:sz w:val="20"/>
        </w:rPr>
      </w:pPr>
      <w:r>
        <w:rPr>
          <w:sz w:val="20"/>
        </w:rPr>
        <w:t>CAS-4-B</w:t>
      </w:r>
      <w:r>
        <w:rPr>
          <w:sz w:val="20"/>
        </w:rPr>
        <w:tab/>
      </w:r>
      <w:r>
        <w:rPr>
          <w:sz w:val="20"/>
        </w:rPr>
        <w:tab/>
      </w:r>
      <w:r>
        <w:rPr>
          <w:sz w:val="20"/>
        </w:rPr>
        <w:tab/>
      </w:r>
      <w:r>
        <w:rPr>
          <w:sz w:val="20"/>
        </w:rPr>
        <w:tab/>
      </w:r>
      <w:r>
        <w:rPr>
          <w:sz w:val="20"/>
        </w:rPr>
        <w:tab/>
        <w:t>- Linear transponder</w:t>
      </w:r>
    </w:p>
    <w:p w14:paraId="1D5C5973" w14:textId="77777777" w:rsidR="00460C84" w:rsidRDefault="00460C84" w:rsidP="00460C84">
      <w:pPr>
        <w:rPr>
          <w:sz w:val="20"/>
        </w:rPr>
      </w:pPr>
      <w:r>
        <w:rPr>
          <w:sz w:val="20"/>
        </w:rPr>
        <w:t xml:space="preserve">CAS -6 </w:t>
      </w:r>
      <w:r>
        <w:rPr>
          <w:sz w:val="20"/>
        </w:rPr>
        <w:tab/>
      </w:r>
      <w:r>
        <w:rPr>
          <w:sz w:val="20"/>
        </w:rPr>
        <w:tab/>
      </w:r>
      <w:r>
        <w:rPr>
          <w:sz w:val="20"/>
        </w:rPr>
        <w:tab/>
      </w:r>
      <w:r>
        <w:rPr>
          <w:sz w:val="20"/>
        </w:rPr>
        <w:tab/>
      </w:r>
      <w:r>
        <w:rPr>
          <w:sz w:val="20"/>
        </w:rPr>
        <w:tab/>
        <w:t>- Linear transponder</w:t>
      </w:r>
    </w:p>
    <w:p w14:paraId="7AE060CC" w14:textId="77777777" w:rsidR="00460C84" w:rsidRDefault="00460C84" w:rsidP="00460C84">
      <w:pPr>
        <w:rPr>
          <w:sz w:val="20"/>
        </w:rPr>
      </w:pPr>
      <w:r>
        <w:rPr>
          <w:sz w:val="20"/>
        </w:rPr>
        <w:t>RS44</w:t>
      </w:r>
      <w:r>
        <w:rPr>
          <w:sz w:val="20"/>
        </w:rPr>
        <w:tab/>
      </w:r>
      <w:r>
        <w:rPr>
          <w:sz w:val="20"/>
        </w:rPr>
        <w:tab/>
      </w:r>
      <w:r>
        <w:rPr>
          <w:sz w:val="20"/>
        </w:rPr>
        <w:tab/>
      </w:r>
      <w:r>
        <w:rPr>
          <w:sz w:val="20"/>
        </w:rPr>
        <w:tab/>
      </w:r>
      <w:r>
        <w:rPr>
          <w:sz w:val="20"/>
        </w:rPr>
        <w:tab/>
        <w:t>- Linear transponder</w:t>
      </w:r>
    </w:p>
    <w:p w14:paraId="0CEE7204" w14:textId="77777777" w:rsidR="00460C84" w:rsidRDefault="00460C84" w:rsidP="00460C84">
      <w:pPr>
        <w:rPr>
          <w:sz w:val="20"/>
        </w:rPr>
      </w:pPr>
      <w:r>
        <w:rPr>
          <w:sz w:val="20"/>
        </w:rPr>
        <w:t>AO91</w:t>
      </w:r>
      <w:r>
        <w:rPr>
          <w:sz w:val="20"/>
        </w:rPr>
        <w:tab/>
      </w:r>
      <w:r>
        <w:rPr>
          <w:sz w:val="20"/>
        </w:rPr>
        <w:tab/>
      </w:r>
      <w:r>
        <w:rPr>
          <w:sz w:val="20"/>
        </w:rPr>
        <w:tab/>
      </w:r>
      <w:r>
        <w:rPr>
          <w:sz w:val="20"/>
        </w:rPr>
        <w:tab/>
      </w:r>
      <w:r>
        <w:rPr>
          <w:sz w:val="20"/>
        </w:rPr>
        <w:tab/>
        <w:t>- FM transponder</w:t>
      </w:r>
    </w:p>
    <w:p w14:paraId="3298B954" w14:textId="77777777" w:rsidR="00460C84" w:rsidRDefault="00460C84" w:rsidP="00460C84">
      <w:pPr>
        <w:rPr>
          <w:sz w:val="20"/>
        </w:rPr>
      </w:pPr>
      <w:r>
        <w:rPr>
          <w:sz w:val="20"/>
        </w:rPr>
        <w:t>AO92/Fox1D</w:t>
      </w:r>
      <w:r>
        <w:rPr>
          <w:sz w:val="20"/>
        </w:rPr>
        <w:tab/>
      </w:r>
      <w:r>
        <w:rPr>
          <w:sz w:val="20"/>
        </w:rPr>
        <w:tab/>
      </w:r>
      <w:r>
        <w:rPr>
          <w:sz w:val="20"/>
        </w:rPr>
        <w:tab/>
      </w:r>
      <w:r>
        <w:rPr>
          <w:sz w:val="20"/>
        </w:rPr>
        <w:tab/>
        <w:t xml:space="preserve">- FM transponder with telemetry for educational outreach and       </w:t>
      </w:r>
      <w:r>
        <w:rPr>
          <w:sz w:val="20"/>
        </w:rPr>
        <w:tab/>
      </w:r>
      <w:r>
        <w:rPr>
          <w:sz w:val="20"/>
        </w:rPr>
        <w:tab/>
      </w:r>
      <w:r>
        <w:rPr>
          <w:sz w:val="20"/>
        </w:rPr>
        <w:tab/>
      </w:r>
      <w:r>
        <w:rPr>
          <w:sz w:val="20"/>
        </w:rPr>
        <w:tab/>
      </w:r>
      <w:r>
        <w:rPr>
          <w:sz w:val="20"/>
        </w:rPr>
        <w:tab/>
        <w:t xml:space="preserve">   L band uplink</w:t>
      </w:r>
    </w:p>
    <w:p w14:paraId="280A95FF" w14:textId="77777777" w:rsidR="00460C84" w:rsidRDefault="00460C84" w:rsidP="00460C84">
      <w:pPr>
        <w:ind w:left="3600" w:hanging="3600"/>
        <w:rPr>
          <w:sz w:val="20"/>
        </w:rPr>
      </w:pPr>
      <w:r>
        <w:rPr>
          <w:sz w:val="20"/>
        </w:rPr>
        <w:t>JO97/JY1SaT</w:t>
      </w:r>
      <w:r>
        <w:rPr>
          <w:sz w:val="20"/>
        </w:rPr>
        <w:tab/>
        <w:t>-</w:t>
      </w:r>
      <w:r w:rsidRPr="00BA6F43">
        <w:rPr>
          <w:sz w:val="20"/>
        </w:rPr>
        <w:t xml:space="preserve"> </w:t>
      </w:r>
      <w:r>
        <w:rPr>
          <w:sz w:val="20"/>
        </w:rPr>
        <w:t>L</w:t>
      </w:r>
      <w:r w:rsidRPr="00A10C15">
        <w:rPr>
          <w:sz w:val="20"/>
        </w:rPr>
        <w:t xml:space="preserve">inear transponder </w:t>
      </w:r>
      <w:r>
        <w:rPr>
          <w:sz w:val="20"/>
        </w:rPr>
        <w:t>with educational telemetry and SSDV images</w:t>
      </w:r>
    </w:p>
    <w:p w14:paraId="3929203E" w14:textId="77777777" w:rsidR="00460C84" w:rsidRDefault="00460C84" w:rsidP="00460C84">
      <w:pPr>
        <w:ind w:left="3600" w:hanging="3600"/>
        <w:rPr>
          <w:sz w:val="20"/>
        </w:rPr>
      </w:pPr>
      <w:r>
        <w:rPr>
          <w:sz w:val="20"/>
        </w:rPr>
        <w:t>QO100/ Es’hail-</w:t>
      </w:r>
      <w:proofErr w:type="gramStart"/>
      <w:r>
        <w:rPr>
          <w:sz w:val="20"/>
        </w:rPr>
        <w:t xml:space="preserve">2  </w:t>
      </w:r>
      <w:r>
        <w:rPr>
          <w:sz w:val="20"/>
        </w:rPr>
        <w:tab/>
      </w:r>
      <w:proofErr w:type="gramEnd"/>
      <w:r>
        <w:rPr>
          <w:sz w:val="20"/>
        </w:rPr>
        <w:t>- Linear transponders in geostationary orbit  (see below)</w:t>
      </w:r>
    </w:p>
    <w:p w14:paraId="79C6C4BC" w14:textId="77777777" w:rsidR="00460C84" w:rsidRDefault="00460C84" w:rsidP="00460C84">
      <w:pPr>
        <w:ind w:left="3600" w:hanging="3600"/>
        <w:rPr>
          <w:sz w:val="20"/>
        </w:rPr>
      </w:pPr>
      <w:r>
        <w:rPr>
          <w:sz w:val="20"/>
        </w:rPr>
        <w:t xml:space="preserve">PO101 </w:t>
      </w:r>
      <w:r>
        <w:rPr>
          <w:sz w:val="20"/>
        </w:rPr>
        <w:tab/>
        <w:t>-FM transponder</w:t>
      </w:r>
    </w:p>
    <w:p w14:paraId="2BA0746C" w14:textId="77777777" w:rsidR="00460C84" w:rsidRDefault="00460C84" w:rsidP="00460C84">
      <w:pPr>
        <w:rPr>
          <w:sz w:val="20"/>
        </w:rPr>
      </w:pPr>
      <w:r>
        <w:rPr>
          <w:sz w:val="20"/>
        </w:rPr>
        <w:lastRenderedPageBreak/>
        <w:t>There are also a large number of satellites with digital and APRS capability including the ARISS payload on the ISS.</w:t>
      </w:r>
    </w:p>
    <w:p w14:paraId="1E215D79" w14:textId="1F7005AD" w:rsidR="00460C84" w:rsidRPr="00460C84" w:rsidRDefault="00460C84" w:rsidP="00460C84">
      <w:pPr>
        <w:rPr>
          <w:sz w:val="20"/>
          <w:szCs w:val="20"/>
        </w:rPr>
      </w:pPr>
      <w:r>
        <w:rPr>
          <w:sz w:val="20"/>
        </w:rPr>
        <w:t xml:space="preserve">To identify currently available Oscar </w:t>
      </w:r>
      <w:proofErr w:type="gramStart"/>
      <w:r>
        <w:rPr>
          <w:sz w:val="20"/>
        </w:rPr>
        <w:t>satellites</w:t>
      </w:r>
      <w:proofErr w:type="gramEnd"/>
      <w:r>
        <w:rPr>
          <w:sz w:val="20"/>
        </w:rPr>
        <w:t xml:space="preserve"> visit </w:t>
      </w:r>
      <w:hyperlink r:id="rId7" w:history="1">
        <w:r w:rsidRPr="00EF2A4C">
          <w:rPr>
            <w:color w:val="0000FF"/>
            <w:sz w:val="20"/>
            <w:szCs w:val="20"/>
            <w:u w:val="single"/>
          </w:rPr>
          <w:t>https://www.amsat.org/status/</w:t>
        </w:r>
      </w:hyperlink>
    </w:p>
    <w:p w14:paraId="35F4F80F" w14:textId="33C922E1" w:rsidR="00460C84" w:rsidRPr="00460C84" w:rsidRDefault="00460C84" w:rsidP="00460C84">
      <w:pPr>
        <w:rPr>
          <w:b/>
          <w:sz w:val="20"/>
        </w:rPr>
      </w:pPr>
      <w:r w:rsidRPr="00B031FA">
        <w:rPr>
          <w:b/>
          <w:sz w:val="20"/>
        </w:rPr>
        <w:t>Other active satellites</w:t>
      </w:r>
    </w:p>
    <w:p w14:paraId="6A23CA45" w14:textId="464BE5BC" w:rsidR="00460C84" w:rsidRDefault="00460C84" w:rsidP="00460C84">
      <w:pPr>
        <w:rPr>
          <w:sz w:val="20"/>
        </w:rPr>
      </w:pPr>
      <w:r>
        <w:rPr>
          <w:sz w:val="20"/>
        </w:rPr>
        <w:t>In addition to the above spacecraft, there are more than 100,</w:t>
      </w:r>
      <w:r w:rsidRPr="00B031FA">
        <w:rPr>
          <w:sz w:val="20"/>
        </w:rPr>
        <w:t xml:space="preserve"> </w:t>
      </w:r>
      <w:r>
        <w:rPr>
          <w:sz w:val="20"/>
        </w:rPr>
        <w:t xml:space="preserve">currently active, other satellites which use downlink frequencies within the amateur satellite service allocations.  These are generally using the145 MHz and/or 435 MHz bands. These have a variety of functions and their current status can be checked at </w:t>
      </w:r>
      <w:hyperlink r:id="rId8" w:history="1">
        <w:r w:rsidRPr="000F59D0">
          <w:rPr>
            <w:rStyle w:val="Hyperlink"/>
            <w:sz w:val="20"/>
          </w:rPr>
          <w:t>http://www.dk3wn.info/p/?page_id=29535</w:t>
        </w:r>
      </w:hyperlink>
      <w:r>
        <w:rPr>
          <w:sz w:val="20"/>
        </w:rPr>
        <w:t xml:space="preserve">  </w:t>
      </w:r>
    </w:p>
    <w:p w14:paraId="61FC5AA2" w14:textId="68B92886" w:rsidR="00460C84" w:rsidRDefault="00460C84" w:rsidP="00460C84">
      <w:pPr>
        <w:rPr>
          <w:sz w:val="20"/>
        </w:rPr>
      </w:pPr>
      <w:r>
        <w:rPr>
          <w:sz w:val="20"/>
        </w:rPr>
        <w:t>Of these, some twenty, although appearing to be operating in the amateur satellite service, have never requested frequency coordination from the IARU. They do not make their telemetry details publicly available and this is in contravention of the Radio Regs.</w:t>
      </w:r>
    </w:p>
    <w:p w14:paraId="78BA57AA" w14:textId="2254849B" w:rsidR="00460C84" w:rsidRPr="00460C84" w:rsidRDefault="00460C84" w:rsidP="00460C84">
      <w:pPr>
        <w:rPr>
          <w:sz w:val="20"/>
        </w:rPr>
      </w:pPr>
      <w:r>
        <w:rPr>
          <w:sz w:val="20"/>
        </w:rPr>
        <w:t xml:space="preserve">Additionally, there are a number of missions, which, although they have gone through the IARU frequency coordination process have also not released their telemetry details. </w:t>
      </w:r>
    </w:p>
    <w:p w14:paraId="7254E26D" w14:textId="0C36BDA8" w:rsidR="00460C84" w:rsidRPr="00460C84" w:rsidRDefault="00460C84" w:rsidP="00460C84">
      <w:pPr>
        <w:pStyle w:val="Heading1"/>
        <w:rPr>
          <w:sz w:val="20"/>
        </w:rPr>
      </w:pPr>
      <w:r>
        <w:rPr>
          <w:sz w:val="20"/>
        </w:rPr>
        <w:t xml:space="preserve">Planned transponder satellite projects  </w:t>
      </w:r>
    </w:p>
    <w:p w14:paraId="18B4C846" w14:textId="77777777" w:rsidR="00460C84" w:rsidRDefault="00460C84" w:rsidP="00460C84">
      <w:pPr>
        <w:rPr>
          <w:rFonts w:cs="Arial"/>
          <w:sz w:val="20"/>
          <w:szCs w:val="20"/>
        </w:rPr>
      </w:pPr>
    </w:p>
    <w:p w14:paraId="3D7F6709" w14:textId="7C9F480F" w:rsidR="00460C84" w:rsidRPr="001601F8" w:rsidRDefault="00460C84" w:rsidP="00460C84">
      <w:pPr>
        <w:rPr>
          <w:rFonts w:cs="Arial"/>
          <w:sz w:val="20"/>
          <w:szCs w:val="20"/>
        </w:rPr>
      </w:pPr>
      <w:r w:rsidRPr="001601F8">
        <w:rPr>
          <w:rFonts w:cs="Arial"/>
          <w:sz w:val="20"/>
          <w:szCs w:val="20"/>
        </w:rPr>
        <w:t>The</w:t>
      </w:r>
      <w:r>
        <w:rPr>
          <w:rFonts w:cs="Arial"/>
          <w:sz w:val="20"/>
          <w:szCs w:val="20"/>
        </w:rPr>
        <w:t>re</w:t>
      </w:r>
      <w:r w:rsidRPr="001601F8">
        <w:rPr>
          <w:rFonts w:cs="Arial"/>
          <w:sz w:val="20"/>
          <w:szCs w:val="20"/>
        </w:rPr>
        <w:t xml:space="preserve"> are numerous FM and linear transponder missions currently under construction including the </w:t>
      </w:r>
      <w:proofErr w:type="spellStart"/>
      <w:r w:rsidRPr="001601F8">
        <w:rPr>
          <w:rFonts w:cs="Arial"/>
          <w:sz w:val="20"/>
          <w:szCs w:val="20"/>
        </w:rPr>
        <w:t>Tevel</w:t>
      </w:r>
      <w:proofErr w:type="spellEnd"/>
      <w:r w:rsidRPr="001601F8">
        <w:rPr>
          <w:rFonts w:cs="Arial"/>
          <w:sz w:val="20"/>
          <w:szCs w:val="20"/>
        </w:rPr>
        <w:t xml:space="preserve"> project for eight identical 1U CubeSats with FM transponders from </w:t>
      </w:r>
      <w:r>
        <w:rPr>
          <w:rFonts w:cs="Arial"/>
          <w:sz w:val="20"/>
          <w:szCs w:val="20"/>
        </w:rPr>
        <w:t xml:space="preserve">the </w:t>
      </w:r>
      <w:r w:rsidRPr="001601F8">
        <w:rPr>
          <w:rFonts w:cs="Arial"/>
          <w:color w:val="000000"/>
          <w:sz w:val="20"/>
          <w:szCs w:val="20"/>
        </w:rPr>
        <w:t xml:space="preserve">Herzliya Science </w:t>
      </w:r>
      <w:proofErr w:type="spellStart"/>
      <w:r w:rsidRPr="001601F8">
        <w:rPr>
          <w:rFonts w:cs="Arial"/>
          <w:color w:val="000000"/>
          <w:sz w:val="20"/>
          <w:szCs w:val="20"/>
        </w:rPr>
        <w:t>Center</w:t>
      </w:r>
      <w:proofErr w:type="spellEnd"/>
      <w:r w:rsidRPr="001601F8">
        <w:rPr>
          <w:rFonts w:cs="Arial"/>
          <w:color w:val="000000"/>
          <w:sz w:val="20"/>
          <w:szCs w:val="20"/>
        </w:rPr>
        <w:t xml:space="preserve"> </w:t>
      </w:r>
      <w:r>
        <w:rPr>
          <w:rFonts w:cs="Arial"/>
          <w:color w:val="000000"/>
          <w:sz w:val="20"/>
          <w:szCs w:val="20"/>
        </w:rPr>
        <w:t xml:space="preserve">in </w:t>
      </w:r>
      <w:r w:rsidRPr="001601F8">
        <w:rPr>
          <w:rFonts w:cs="Arial"/>
          <w:color w:val="000000"/>
          <w:sz w:val="20"/>
          <w:szCs w:val="20"/>
        </w:rPr>
        <w:t>I</w:t>
      </w:r>
      <w:r w:rsidRPr="001601F8">
        <w:rPr>
          <w:rFonts w:cs="Arial"/>
          <w:sz w:val="20"/>
          <w:szCs w:val="20"/>
        </w:rPr>
        <w:t>srael</w:t>
      </w:r>
      <w:r>
        <w:rPr>
          <w:rFonts w:cs="Arial"/>
          <w:sz w:val="20"/>
          <w:szCs w:val="20"/>
        </w:rPr>
        <w:t>.</w:t>
      </w:r>
    </w:p>
    <w:p w14:paraId="634C1C79" w14:textId="77777777" w:rsidR="00460C84" w:rsidRDefault="00460C84" w:rsidP="00460C84">
      <w:pPr>
        <w:rPr>
          <w:b/>
          <w:sz w:val="20"/>
        </w:rPr>
      </w:pPr>
      <w:r>
        <w:rPr>
          <w:b/>
          <w:sz w:val="20"/>
        </w:rPr>
        <w:t>QO100 - EsHail-2</w:t>
      </w:r>
    </w:p>
    <w:p w14:paraId="79ED3701" w14:textId="77777777" w:rsidR="00460C84" w:rsidRDefault="00460C84" w:rsidP="00460C84">
      <w:pPr>
        <w:shd w:val="clear" w:color="auto" w:fill="FFFFFF"/>
        <w:spacing w:before="240" w:after="240"/>
        <w:rPr>
          <w:rFonts w:cs="Arial"/>
          <w:color w:val="141823"/>
          <w:sz w:val="20"/>
          <w:szCs w:val="20"/>
          <w:lang w:val="en" w:eastAsia="en-GB"/>
        </w:rPr>
      </w:pPr>
      <w:r>
        <w:rPr>
          <w:rFonts w:cs="Arial"/>
          <w:sz w:val="20"/>
          <w:szCs w:val="20"/>
        </w:rPr>
        <w:t>This</w:t>
      </w:r>
      <w:r w:rsidRPr="00C02B8B">
        <w:rPr>
          <w:rFonts w:cs="Arial"/>
          <w:sz w:val="20"/>
          <w:szCs w:val="20"/>
        </w:rPr>
        <w:t xml:space="preserve"> </w:t>
      </w:r>
      <w:r>
        <w:rPr>
          <w:rFonts w:cs="Arial"/>
          <w:sz w:val="20"/>
          <w:szCs w:val="20"/>
        </w:rPr>
        <w:t xml:space="preserve">is a </w:t>
      </w:r>
      <w:r w:rsidRPr="00C02B8B">
        <w:rPr>
          <w:rFonts w:cs="Arial"/>
          <w:sz w:val="20"/>
          <w:szCs w:val="20"/>
        </w:rPr>
        <w:t xml:space="preserve">Geostationary Spacecraft </w:t>
      </w:r>
      <w:r>
        <w:rPr>
          <w:rFonts w:cs="Arial"/>
          <w:sz w:val="20"/>
          <w:szCs w:val="20"/>
        </w:rPr>
        <w:t xml:space="preserve">at located at 25.8 degrees east </w:t>
      </w:r>
      <w:r w:rsidRPr="00C02B8B">
        <w:rPr>
          <w:rFonts w:cs="Arial"/>
          <w:sz w:val="20"/>
          <w:szCs w:val="20"/>
        </w:rPr>
        <w:t xml:space="preserve">and </w:t>
      </w:r>
      <w:r>
        <w:rPr>
          <w:rFonts w:cs="Arial"/>
          <w:color w:val="141823"/>
          <w:sz w:val="20"/>
          <w:szCs w:val="20"/>
          <w:lang w:val="en" w:eastAsia="en-GB"/>
        </w:rPr>
        <w:t>carries</w:t>
      </w:r>
      <w:r w:rsidRPr="00C02B8B">
        <w:rPr>
          <w:rFonts w:cs="Arial"/>
          <w:color w:val="141823"/>
          <w:sz w:val="20"/>
          <w:szCs w:val="20"/>
          <w:lang w:val="en" w:eastAsia="en-GB"/>
        </w:rPr>
        <w:t xml:space="preserve"> two amateur transpond</w:t>
      </w:r>
      <w:r>
        <w:rPr>
          <w:rFonts w:cs="Arial"/>
          <w:color w:val="141823"/>
          <w:sz w:val="20"/>
          <w:szCs w:val="20"/>
          <w:lang w:val="en" w:eastAsia="en-GB"/>
        </w:rPr>
        <w:t>ers. They will both use 2.4GHz for uplink and 10GHz for downlinks. It was launched in November 2018 and commissioning was completed in the Spring of 2019.</w:t>
      </w:r>
    </w:p>
    <w:p w14:paraId="7990DB9D" w14:textId="059C5500" w:rsidR="00460C84" w:rsidRDefault="00460C84" w:rsidP="00460C84">
      <w:pPr>
        <w:shd w:val="clear" w:color="auto" w:fill="FFFFFF"/>
        <w:spacing w:before="240" w:after="240"/>
        <w:rPr>
          <w:rFonts w:cs="Arial"/>
          <w:color w:val="141823"/>
          <w:sz w:val="20"/>
          <w:szCs w:val="20"/>
          <w:lang w:val="en" w:eastAsia="en-GB"/>
        </w:rPr>
      </w:pPr>
      <w:r>
        <w:rPr>
          <w:noProof/>
        </w:rPr>
        <w:drawing>
          <wp:anchor distT="0" distB="0" distL="114300" distR="114300" simplePos="0" relativeHeight="251660288" behindDoc="0" locked="0" layoutInCell="1" allowOverlap="1" wp14:anchorId="1AD09661" wp14:editId="4F25BA57">
            <wp:simplePos x="0" y="0"/>
            <wp:positionH relativeFrom="column">
              <wp:posOffset>2232025</wp:posOffset>
            </wp:positionH>
            <wp:positionV relativeFrom="paragraph">
              <wp:posOffset>-117475</wp:posOffset>
            </wp:positionV>
            <wp:extent cx="3848100" cy="2102485"/>
            <wp:effectExtent l="0" t="0" r="0" b="0"/>
            <wp:wrapSquare wrapText="bothSides"/>
            <wp:docPr id="3" name="Picture 3" descr="A picture containing computer, monitor, indoor, des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l="11823" t="10541" b="3325"/>
                    <a:stretch>
                      <a:fillRect/>
                    </a:stretch>
                  </pic:blipFill>
                  <pic:spPr bwMode="auto">
                    <a:xfrm>
                      <a:off x="0" y="0"/>
                      <a:ext cx="3848100" cy="2102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141823"/>
          <w:sz w:val="20"/>
          <w:szCs w:val="20"/>
          <w:lang w:val="en" w:eastAsia="en-GB"/>
        </w:rPr>
        <w:t xml:space="preserve">The NB (narrow band) transponder has recently been enabled for a 500kHz bandwidth which will allow even more simultaneous QSOs to take place. All modes are acceptable on this transponder but must not exceed 2.7kHz bandwidth. </w:t>
      </w:r>
    </w:p>
    <w:p w14:paraId="4546120B" w14:textId="77777777" w:rsidR="00460C84" w:rsidRDefault="00460C84" w:rsidP="00460C84">
      <w:pPr>
        <w:shd w:val="clear" w:color="auto" w:fill="FFFFFF"/>
        <w:spacing w:before="240" w:after="240"/>
        <w:rPr>
          <w:rFonts w:cs="Arial"/>
          <w:color w:val="141823"/>
          <w:sz w:val="20"/>
          <w:szCs w:val="20"/>
          <w:lang w:val="en" w:eastAsia="en-GB"/>
        </w:rPr>
      </w:pPr>
    </w:p>
    <w:p w14:paraId="2C2EFB27" w14:textId="77777777" w:rsidR="00460C84" w:rsidRDefault="00460C84" w:rsidP="00460C84">
      <w:pPr>
        <w:shd w:val="clear" w:color="auto" w:fill="FFFFFF"/>
        <w:spacing w:before="240" w:after="240"/>
        <w:rPr>
          <w:rFonts w:cs="Arial"/>
          <w:color w:val="141823"/>
          <w:sz w:val="20"/>
          <w:szCs w:val="20"/>
          <w:lang w:val="en" w:eastAsia="en-GB"/>
        </w:rPr>
      </w:pPr>
    </w:p>
    <w:p w14:paraId="2165C1C4" w14:textId="77777777" w:rsidR="00460C84" w:rsidRDefault="00460C84" w:rsidP="00460C84">
      <w:pPr>
        <w:shd w:val="clear" w:color="auto" w:fill="FFFFFF"/>
        <w:spacing w:before="240" w:after="240"/>
        <w:rPr>
          <w:rFonts w:cs="Arial"/>
          <w:color w:val="141823"/>
          <w:sz w:val="20"/>
          <w:szCs w:val="20"/>
          <w:lang w:val="en" w:eastAsia="en-GB"/>
        </w:rPr>
      </w:pPr>
      <w:r>
        <w:rPr>
          <w:noProof/>
        </w:rPr>
        <w:lastRenderedPageBreak/>
        <w:drawing>
          <wp:anchor distT="0" distB="0" distL="114300" distR="114300" simplePos="0" relativeHeight="251661312" behindDoc="1" locked="0" layoutInCell="1" allowOverlap="1" wp14:anchorId="756A70CC" wp14:editId="0F76301B">
            <wp:simplePos x="0" y="0"/>
            <wp:positionH relativeFrom="column">
              <wp:posOffset>-231775</wp:posOffset>
            </wp:positionH>
            <wp:positionV relativeFrom="paragraph">
              <wp:posOffset>171450</wp:posOffset>
            </wp:positionV>
            <wp:extent cx="4868545" cy="2120900"/>
            <wp:effectExtent l="0" t="0" r="0" b="0"/>
            <wp:wrapTight wrapText="bothSides">
              <wp:wrapPolygon edited="0">
                <wp:start x="0" y="0"/>
                <wp:lineTo x="0" y="21471"/>
                <wp:lineTo x="21524" y="21471"/>
                <wp:lineTo x="21524" y="0"/>
                <wp:lineTo x="0" y="0"/>
              </wp:wrapPolygon>
            </wp:wrapTight>
            <wp:docPr id="4" name="Picture 4" descr="A screen 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r="-630" b="28273"/>
                    <a:stretch>
                      <a:fillRect/>
                    </a:stretch>
                  </pic:blipFill>
                  <pic:spPr bwMode="auto">
                    <a:xfrm>
                      <a:off x="0" y="0"/>
                      <a:ext cx="4868545"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73153" w14:textId="77777777" w:rsidR="00460C84" w:rsidRDefault="00460C84" w:rsidP="00460C84">
      <w:pPr>
        <w:shd w:val="clear" w:color="auto" w:fill="FFFFFF"/>
        <w:spacing w:before="240" w:after="240"/>
        <w:rPr>
          <w:rFonts w:cs="Arial"/>
          <w:color w:val="141823"/>
          <w:sz w:val="20"/>
          <w:szCs w:val="20"/>
          <w:lang w:val="en" w:eastAsia="en-GB"/>
        </w:rPr>
      </w:pPr>
      <w:r>
        <w:rPr>
          <w:rFonts w:cs="Arial"/>
          <w:color w:val="141823"/>
          <w:sz w:val="20"/>
          <w:szCs w:val="20"/>
          <w:lang w:val="en" w:eastAsia="en-GB"/>
        </w:rPr>
        <w:t xml:space="preserve">The WB (wide band) transponder is intended for all types of experiments and is currently the </w:t>
      </w:r>
      <w:proofErr w:type="spellStart"/>
      <w:r>
        <w:rPr>
          <w:rFonts w:cs="Arial"/>
          <w:color w:val="141823"/>
          <w:sz w:val="20"/>
          <w:szCs w:val="20"/>
          <w:lang w:val="en" w:eastAsia="en-GB"/>
        </w:rPr>
        <w:t>centre</w:t>
      </w:r>
      <w:proofErr w:type="spellEnd"/>
      <w:r>
        <w:rPr>
          <w:rFonts w:cs="Arial"/>
          <w:color w:val="141823"/>
          <w:sz w:val="20"/>
          <w:szCs w:val="20"/>
          <w:lang w:val="en" w:eastAsia="en-GB"/>
        </w:rPr>
        <w:t xml:space="preserve"> for much development and testing of new Digital ATV techniques. These include enhanced modulation techniques to obtain quality video with smaller bandwidths. </w:t>
      </w:r>
    </w:p>
    <w:p w14:paraId="424B8C16" w14:textId="77777777" w:rsidR="00460C84" w:rsidRDefault="00460C84" w:rsidP="00460C84">
      <w:pPr>
        <w:shd w:val="clear" w:color="auto" w:fill="FFFFFF"/>
        <w:spacing w:before="240" w:after="240"/>
        <w:rPr>
          <w:noProof/>
        </w:rPr>
      </w:pPr>
      <w:r>
        <w:rPr>
          <w:noProof/>
        </w:rPr>
        <w:drawing>
          <wp:anchor distT="0" distB="0" distL="114300" distR="114300" simplePos="0" relativeHeight="251659264" behindDoc="0" locked="0" layoutInCell="1" allowOverlap="1" wp14:anchorId="44204829" wp14:editId="257D2A42">
            <wp:simplePos x="0" y="0"/>
            <wp:positionH relativeFrom="column">
              <wp:posOffset>3623945</wp:posOffset>
            </wp:positionH>
            <wp:positionV relativeFrom="paragraph">
              <wp:posOffset>269875</wp:posOffset>
            </wp:positionV>
            <wp:extent cx="2571115" cy="1593850"/>
            <wp:effectExtent l="0" t="0" r="0" b="0"/>
            <wp:wrapSquare wrapText="bothSides"/>
            <wp:docPr id="2" name="Picture 5"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cstate="print">
                      <a:extLst>
                        <a:ext uri="{28A0092B-C50C-407E-A947-70E740481C1C}">
                          <a14:useLocalDpi xmlns:a14="http://schemas.microsoft.com/office/drawing/2010/main" val="0"/>
                        </a:ext>
                      </a:extLst>
                    </a:blip>
                    <a:srcRect l="25670" t="10254" r="15552" b="24426"/>
                    <a:stretch>
                      <a:fillRect/>
                    </a:stretch>
                  </pic:blipFill>
                  <pic:spPr bwMode="auto">
                    <a:xfrm>
                      <a:off x="0" y="0"/>
                      <a:ext cx="2571115"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B8B">
        <w:rPr>
          <w:rFonts w:cs="Arial"/>
          <w:color w:val="141823"/>
          <w:sz w:val="20"/>
          <w:szCs w:val="20"/>
          <w:lang w:val="en" w:eastAsia="en-GB"/>
        </w:rPr>
        <w:t xml:space="preserve">Both transponders have broad beam antennas to provide full coverage over </w:t>
      </w:r>
      <w:r>
        <w:rPr>
          <w:rFonts w:cs="Arial"/>
          <w:color w:val="141823"/>
          <w:sz w:val="20"/>
          <w:szCs w:val="20"/>
          <w:lang w:val="en" w:eastAsia="en-GB"/>
        </w:rPr>
        <w:t>more than one third</w:t>
      </w:r>
      <w:r w:rsidRPr="00C02B8B">
        <w:rPr>
          <w:rFonts w:cs="Arial"/>
          <w:color w:val="141823"/>
          <w:sz w:val="20"/>
          <w:szCs w:val="20"/>
          <w:lang w:val="en" w:eastAsia="en-GB"/>
        </w:rPr>
        <w:t xml:space="preserve"> of the earth’s surface</w:t>
      </w:r>
      <w:r>
        <w:rPr>
          <w:rFonts w:cs="Arial"/>
          <w:color w:val="141823"/>
          <w:sz w:val="20"/>
          <w:szCs w:val="20"/>
          <w:lang w:val="en" w:eastAsia="en-GB"/>
        </w:rPr>
        <w:t xml:space="preserve"> centered over Africa.</w:t>
      </w:r>
      <w:r w:rsidRPr="007D1CB9">
        <w:rPr>
          <w:noProof/>
        </w:rPr>
        <w:t xml:space="preserve"> </w:t>
      </w:r>
    </w:p>
    <w:p w14:paraId="6749FE75" w14:textId="77777777" w:rsidR="00460C84" w:rsidRDefault="00460C84" w:rsidP="00460C84">
      <w:pPr>
        <w:shd w:val="clear" w:color="auto" w:fill="FFFFFF"/>
        <w:spacing w:before="240" w:after="240"/>
        <w:rPr>
          <w:rFonts w:cs="Arial"/>
          <w:color w:val="141823"/>
          <w:sz w:val="20"/>
          <w:szCs w:val="20"/>
          <w:lang w:val="en" w:eastAsia="en-GB"/>
        </w:rPr>
      </w:pPr>
      <w:r w:rsidRPr="00E453E1">
        <w:rPr>
          <w:rFonts w:cs="Arial"/>
          <w:b/>
          <w:color w:val="141823"/>
          <w:sz w:val="20"/>
          <w:szCs w:val="20"/>
          <w:lang w:val="en" w:eastAsia="en-GB"/>
        </w:rPr>
        <w:t>This 24/7 coverage of more than 1/3</w:t>
      </w:r>
      <w:r w:rsidRPr="00E453E1">
        <w:rPr>
          <w:rFonts w:cs="Arial"/>
          <w:b/>
          <w:color w:val="141823"/>
          <w:sz w:val="20"/>
          <w:szCs w:val="20"/>
          <w:vertAlign w:val="superscript"/>
          <w:lang w:val="en" w:eastAsia="en-GB"/>
        </w:rPr>
        <w:t>rd</w:t>
      </w:r>
      <w:r w:rsidRPr="00E453E1">
        <w:rPr>
          <w:rFonts w:cs="Arial"/>
          <w:b/>
          <w:color w:val="141823"/>
          <w:sz w:val="20"/>
          <w:szCs w:val="20"/>
          <w:lang w:val="en" w:eastAsia="en-GB"/>
        </w:rPr>
        <w:t xml:space="preserve"> of the globe require</w:t>
      </w:r>
      <w:r>
        <w:rPr>
          <w:rFonts w:cs="Arial"/>
          <w:b/>
          <w:color w:val="141823"/>
          <w:sz w:val="20"/>
          <w:szCs w:val="20"/>
          <w:lang w:val="en" w:eastAsia="en-GB"/>
        </w:rPr>
        <w:t>s</w:t>
      </w:r>
      <w:r w:rsidRPr="00E453E1">
        <w:rPr>
          <w:rFonts w:cs="Arial"/>
          <w:b/>
          <w:color w:val="141823"/>
          <w:sz w:val="20"/>
          <w:szCs w:val="20"/>
          <w:lang w:val="en" w:eastAsia="en-GB"/>
        </w:rPr>
        <w:t xml:space="preserve"> operators to use the transponders responsibly</w:t>
      </w:r>
      <w:r>
        <w:rPr>
          <w:rFonts w:cs="Arial"/>
          <w:color w:val="141823"/>
          <w:sz w:val="20"/>
          <w:szCs w:val="20"/>
          <w:lang w:val="en" w:eastAsia="en-GB"/>
        </w:rPr>
        <w:t xml:space="preserve">. </w:t>
      </w:r>
      <w:proofErr w:type="spellStart"/>
      <w:r>
        <w:rPr>
          <w:rFonts w:cs="Arial"/>
          <w:color w:val="141823"/>
          <w:sz w:val="20"/>
          <w:szCs w:val="20"/>
          <w:lang w:val="en" w:eastAsia="en-GB"/>
        </w:rPr>
        <w:t>Bandplans</w:t>
      </w:r>
      <w:proofErr w:type="spellEnd"/>
      <w:r>
        <w:rPr>
          <w:rFonts w:cs="Arial"/>
          <w:color w:val="141823"/>
          <w:sz w:val="20"/>
          <w:szCs w:val="20"/>
          <w:lang w:val="en" w:eastAsia="en-GB"/>
        </w:rPr>
        <w:t xml:space="preserve"> have been developed and “Good operating practices” defined. </w:t>
      </w:r>
      <w:proofErr w:type="gramStart"/>
      <w:r>
        <w:rPr>
          <w:rFonts w:cs="Arial"/>
          <w:color w:val="141823"/>
          <w:sz w:val="20"/>
          <w:szCs w:val="20"/>
          <w:lang w:val="en" w:eastAsia="en-GB"/>
        </w:rPr>
        <w:t>Generally</w:t>
      </w:r>
      <w:proofErr w:type="gramEnd"/>
      <w:r>
        <w:rPr>
          <w:rFonts w:cs="Arial"/>
          <w:color w:val="141823"/>
          <w:sz w:val="20"/>
          <w:szCs w:val="20"/>
          <w:lang w:val="en" w:eastAsia="en-GB"/>
        </w:rPr>
        <w:t xml:space="preserve"> experience has been good but some non-complaint signals have been observed and there are a number of automatic remote stations being detected. These activities deprecated by AMSAT-DL, QARS and the </w:t>
      </w:r>
      <w:proofErr w:type="spellStart"/>
      <w:r>
        <w:rPr>
          <w:rFonts w:cs="Arial"/>
          <w:color w:val="141823"/>
          <w:sz w:val="20"/>
          <w:szCs w:val="20"/>
          <w:lang w:val="en" w:eastAsia="en-GB"/>
        </w:rPr>
        <w:t>Eshailsat</w:t>
      </w:r>
      <w:proofErr w:type="spellEnd"/>
      <w:r>
        <w:rPr>
          <w:rFonts w:cs="Arial"/>
          <w:color w:val="141823"/>
          <w:sz w:val="20"/>
          <w:szCs w:val="20"/>
          <w:lang w:val="en" w:eastAsia="en-GB"/>
        </w:rPr>
        <w:t xml:space="preserve"> company.</w:t>
      </w:r>
    </w:p>
    <w:p w14:paraId="1CB3BFDF" w14:textId="77777777" w:rsidR="00460C84" w:rsidRPr="00C34FA6" w:rsidRDefault="00460C84" w:rsidP="00460C84">
      <w:pPr>
        <w:shd w:val="clear" w:color="auto" w:fill="FFFFFF"/>
        <w:spacing w:before="240" w:after="240"/>
        <w:rPr>
          <w:rFonts w:cs="Arial"/>
          <w:color w:val="141823"/>
          <w:sz w:val="20"/>
          <w:szCs w:val="20"/>
          <w:lang w:val="en" w:eastAsia="en-GB"/>
        </w:rPr>
      </w:pPr>
      <w:r>
        <w:rPr>
          <w:rFonts w:cs="Arial"/>
          <w:color w:val="141823"/>
          <w:sz w:val="20"/>
          <w:szCs w:val="20"/>
          <w:lang w:val="en" w:eastAsia="en-GB"/>
        </w:rPr>
        <w:t>A</w:t>
      </w:r>
      <w:r w:rsidRPr="00C34FA6">
        <w:rPr>
          <w:rFonts w:cs="Arial"/>
          <w:bCs/>
          <w:color w:val="141823"/>
          <w:sz w:val="20"/>
          <w:szCs w:val="20"/>
          <w:lang w:val="en" w:eastAsia="en-GB"/>
        </w:rPr>
        <w:t>ll IARU member societies</w:t>
      </w:r>
      <w:r>
        <w:rPr>
          <w:rFonts w:cs="Arial"/>
          <w:bCs/>
          <w:color w:val="141823"/>
          <w:sz w:val="20"/>
          <w:szCs w:val="20"/>
          <w:lang w:val="en" w:eastAsia="en-GB"/>
        </w:rPr>
        <w:t xml:space="preserve"> </w:t>
      </w:r>
      <w:r w:rsidRPr="00C34FA6">
        <w:rPr>
          <w:rFonts w:cs="Arial"/>
          <w:bCs/>
          <w:color w:val="141823"/>
          <w:sz w:val="20"/>
          <w:szCs w:val="20"/>
          <w:lang w:val="en" w:eastAsia="en-GB"/>
        </w:rPr>
        <w:t xml:space="preserve">within the footprint, are kindly asked to give maximum publicity to the details included here </w:t>
      </w:r>
      <w:hyperlink r:id="rId12" w:history="1">
        <w:r w:rsidRPr="00C34FA6">
          <w:rPr>
            <w:rStyle w:val="Hyperlink"/>
            <w:rFonts w:cs="Arial"/>
            <w:bCs/>
            <w:sz w:val="20"/>
            <w:szCs w:val="20"/>
            <w:lang w:val="en" w:eastAsia="en-GB"/>
          </w:rPr>
          <w:t>https://amsat-dl.org/p4-a-nb-transponder-bandplan-and-operating-guidelines</w:t>
        </w:r>
      </w:hyperlink>
      <w:r w:rsidRPr="00C34FA6">
        <w:rPr>
          <w:rFonts w:cs="Arial"/>
          <w:bCs/>
          <w:color w:val="141823"/>
          <w:sz w:val="20"/>
          <w:szCs w:val="20"/>
          <w:lang w:val="en" w:eastAsia="en-GB"/>
        </w:rPr>
        <w:t xml:space="preserve"> for the narrowband transponder and here </w:t>
      </w:r>
      <w:hyperlink r:id="rId13" w:history="1">
        <w:r w:rsidRPr="00C34FA6">
          <w:rPr>
            <w:rStyle w:val="Hyperlink"/>
            <w:rFonts w:cs="Arial"/>
            <w:bCs/>
            <w:sz w:val="20"/>
            <w:szCs w:val="20"/>
            <w:lang w:val="en" w:eastAsia="en-GB"/>
          </w:rPr>
          <w:t>https://amsat-dl.org/p4-a-wb-transponder-bandplan-and-operating-guidelines</w:t>
        </w:r>
      </w:hyperlink>
      <w:r w:rsidRPr="00C34FA6">
        <w:rPr>
          <w:rFonts w:cs="Arial"/>
          <w:bCs/>
          <w:color w:val="141823"/>
          <w:sz w:val="20"/>
          <w:szCs w:val="20"/>
          <w:lang w:val="en" w:eastAsia="en-GB"/>
        </w:rPr>
        <w:t xml:space="preserve"> for the DATV/wideband transponder. </w:t>
      </w:r>
    </w:p>
    <w:p w14:paraId="163293A4" w14:textId="2152D7C2" w:rsidR="00460C84" w:rsidRPr="00FB6D34" w:rsidRDefault="00460C84" w:rsidP="00FB6D34">
      <w:pPr>
        <w:shd w:val="clear" w:color="auto" w:fill="FFFFFF"/>
        <w:spacing w:before="240" w:after="240"/>
        <w:rPr>
          <w:rFonts w:cs="Arial"/>
          <w:color w:val="141823"/>
          <w:sz w:val="20"/>
          <w:szCs w:val="20"/>
          <w:lang w:val="en" w:eastAsia="en-GB"/>
        </w:rPr>
      </w:pPr>
      <w:r>
        <w:rPr>
          <w:rFonts w:cs="Arial"/>
          <w:color w:val="141823"/>
          <w:sz w:val="20"/>
          <w:szCs w:val="20"/>
          <w:lang w:val="en" w:eastAsia="en-GB"/>
        </w:rPr>
        <w:t>As expected, this mission has created a welcome step change in the development of hardware for, and the level of amateur activity on, both our 2.4 GHz and 10.45 GHz allocations. Many new hardware developments have been undertaken by both individual radio amateurs and specialist suppliers. This development has included new transverters, new PAs, new dual band antennas – including the famous POTY, plus modifications for enhanced stability LNBs. SDR software, such as SDR Console, has also been considerably enhanced to enable Lime and Pluto SDRs to be used for both transmit and receive.</w:t>
      </w:r>
    </w:p>
    <w:p w14:paraId="70045067" w14:textId="597583B1" w:rsidR="00460C84" w:rsidRDefault="00460C84" w:rsidP="00460C84">
      <w:pPr>
        <w:rPr>
          <w:b/>
          <w:sz w:val="20"/>
        </w:rPr>
      </w:pPr>
      <w:r w:rsidRPr="00C02B8B">
        <w:rPr>
          <w:b/>
          <w:sz w:val="20"/>
        </w:rPr>
        <w:t>CubeSats</w:t>
      </w:r>
    </w:p>
    <w:p w14:paraId="7F51A956" w14:textId="0C49FAF7" w:rsidR="00460C84" w:rsidRPr="00443F02" w:rsidRDefault="00460C84" w:rsidP="00460C84">
      <w:pPr>
        <w:rPr>
          <w:rFonts w:cs="Arial"/>
          <w:sz w:val="20"/>
          <w:szCs w:val="20"/>
        </w:rPr>
      </w:pPr>
      <w:r>
        <w:rPr>
          <w:sz w:val="20"/>
        </w:rPr>
        <w:t xml:space="preserve">There continues to be a considerable </w:t>
      </w:r>
      <w:r w:rsidRPr="00C02B8B">
        <w:rPr>
          <w:sz w:val="20"/>
        </w:rPr>
        <w:t xml:space="preserve">number of CubeSats </w:t>
      </w:r>
      <w:r>
        <w:rPr>
          <w:sz w:val="20"/>
        </w:rPr>
        <w:t>missions being developed</w:t>
      </w:r>
      <w:r w:rsidRPr="00C02B8B">
        <w:rPr>
          <w:sz w:val="20"/>
        </w:rPr>
        <w:t xml:space="preserve">. </w:t>
      </w:r>
      <w:r>
        <w:rPr>
          <w:rFonts w:cs="Arial"/>
          <w:sz w:val="20"/>
          <w:szCs w:val="20"/>
        </w:rPr>
        <w:t xml:space="preserve">It is expected that a majority of this volume will be parts of commercial constellations that will use frequencies outside the amateur satellite service spectrum.  The number of CubeSats being developed by Universities and similar organisations is expected to be stable over the coming months.  </w:t>
      </w:r>
    </w:p>
    <w:p w14:paraId="7ADA3E8D" w14:textId="77777777" w:rsidR="00460C84" w:rsidRPr="001964BA" w:rsidRDefault="00460C84" w:rsidP="00460C84">
      <w:pPr>
        <w:rPr>
          <w:rFonts w:cs="Arial"/>
          <w:sz w:val="20"/>
        </w:rPr>
      </w:pPr>
      <w:r>
        <w:rPr>
          <w:rFonts w:cs="Arial"/>
          <w:color w:val="333333"/>
          <w:sz w:val="20"/>
          <w:szCs w:val="20"/>
          <w:shd w:val="clear" w:color="auto" w:fill="FFFFFF"/>
        </w:rPr>
        <w:t>At WRC-19 the ITU agreed a</w:t>
      </w:r>
      <w:r w:rsidRPr="001964BA">
        <w:rPr>
          <w:rFonts w:cs="Arial"/>
          <w:color w:val="333333"/>
          <w:sz w:val="20"/>
          <w:szCs w:val="20"/>
          <w:shd w:val="clear" w:color="auto" w:fill="FFFFFF"/>
        </w:rPr>
        <w:t xml:space="preserve"> new alternative and simplified regulatory regime for non-GSO satellite systems with short duration missions (&lt;3 years) not subject to coordination. </w:t>
      </w:r>
      <w:r>
        <w:rPr>
          <w:rFonts w:cs="Arial"/>
          <w:color w:val="333333"/>
          <w:sz w:val="20"/>
          <w:szCs w:val="20"/>
          <w:shd w:val="clear" w:color="auto" w:fill="FFFFFF"/>
        </w:rPr>
        <w:t>They also identified</w:t>
      </w:r>
      <w:r w:rsidRPr="001964BA">
        <w:rPr>
          <w:rFonts w:cs="Arial"/>
          <w:color w:val="333333"/>
          <w:sz w:val="20"/>
          <w:szCs w:val="20"/>
          <w:shd w:val="clear" w:color="auto" w:fill="FFFFFF"/>
        </w:rPr>
        <w:t xml:space="preserve"> the VHF bands 137-138 MHz and 148-149.9 MHz for TCM links </w:t>
      </w:r>
      <w:r>
        <w:rPr>
          <w:rFonts w:cs="Arial"/>
          <w:color w:val="333333"/>
          <w:sz w:val="20"/>
          <w:szCs w:val="20"/>
          <w:shd w:val="clear" w:color="auto" w:fill="FFFFFF"/>
        </w:rPr>
        <w:t>for these missions. The impact of this decision in relation to the amateur satellite service remains to be seen.</w:t>
      </w:r>
    </w:p>
    <w:p w14:paraId="219EA03C" w14:textId="77777777" w:rsidR="00460C84" w:rsidRPr="00C02B8B" w:rsidRDefault="00460C84" w:rsidP="00460C84">
      <w:pPr>
        <w:rPr>
          <w:sz w:val="20"/>
        </w:rPr>
      </w:pPr>
      <w:r w:rsidRPr="00C02B8B">
        <w:rPr>
          <w:sz w:val="20"/>
        </w:rPr>
        <w:t xml:space="preserve"> </w:t>
      </w:r>
    </w:p>
    <w:p w14:paraId="69D7717F" w14:textId="77777777" w:rsidR="00FB6D34" w:rsidRDefault="00FB6D34">
      <w:pPr>
        <w:rPr>
          <w:b/>
          <w:sz w:val="20"/>
        </w:rPr>
      </w:pPr>
      <w:r>
        <w:rPr>
          <w:b/>
          <w:sz w:val="20"/>
        </w:rPr>
        <w:br w:type="page"/>
      </w:r>
    </w:p>
    <w:p w14:paraId="0DEFA4D4" w14:textId="022BEAB2" w:rsidR="00460C84" w:rsidRPr="00460C84" w:rsidRDefault="00460C84" w:rsidP="00460C84">
      <w:pPr>
        <w:rPr>
          <w:b/>
          <w:sz w:val="20"/>
        </w:rPr>
      </w:pPr>
      <w:r w:rsidRPr="00103D9F">
        <w:rPr>
          <w:b/>
          <w:sz w:val="20"/>
        </w:rPr>
        <w:lastRenderedPageBreak/>
        <w:t>Frequency Coordination</w:t>
      </w:r>
    </w:p>
    <w:p w14:paraId="4B536677" w14:textId="27404491" w:rsidR="00460C84" w:rsidRDefault="00460C84" w:rsidP="00460C84">
      <w:pPr>
        <w:rPr>
          <w:sz w:val="20"/>
        </w:rPr>
      </w:pPr>
      <w:r>
        <w:rPr>
          <w:sz w:val="20"/>
        </w:rPr>
        <w:t>The IARU Frequency Coordination Panel has continued to be very active and is working to ensure that all satellite projects, which are intending to use frequencies in the amateur satellite service, are compliant with the requirements for such use.</w:t>
      </w:r>
      <w:r w:rsidRPr="0013013A">
        <w:rPr>
          <w:sz w:val="20"/>
        </w:rPr>
        <w:t xml:space="preserve"> </w:t>
      </w:r>
      <w:r>
        <w:rPr>
          <w:sz w:val="20"/>
        </w:rPr>
        <w:t xml:space="preserve"> </w:t>
      </w:r>
    </w:p>
    <w:p w14:paraId="549925F8" w14:textId="679329A4" w:rsidR="00460C84" w:rsidRDefault="00460C84" w:rsidP="00460C84">
      <w:pPr>
        <w:rPr>
          <w:sz w:val="20"/>
        </w:rPr>
      </w:pPr>
      <w:r>
        <w:rPr>
          <w:sz w:val="20"/>
        </w:rPr>
        <w:t>Several missions have recently been declined as they cannot demonstrate that they meet the requirements in Art 25 section II of the Radio Regulations. It is hoped that IARU will transmit a more public message in this regard in an effort to reduce these occurrences.</w:t>
      </w:r>
    </w:p>
    <w:p w14:paraId="00348850" w14:textId="13B176E9" w:rsidR="00460C84" w:rsidRDefault="00460C84" w:rsidP="00460C84">
      <w:pPr>
        <w:rPr>
          <w:sz w:val="20"/>
        </w:rPr>
      </w:pPr>
      <w:r>
        <w:rPr>
          <w:sz w:val="20"/>
        </w:rPr>
        <w:t>The Frequency Coordination request form has recently been updated and it is hoped to take this online in the future.</w:t>
      </w:r>
    </w:p>
    <w:p w14:paraId="7A5E050E" w14:textId="77777777" w:rsidR="00460C84" w:rsidRDefault="00460C84" w:rsidP="00460C84">
      <w:pPr>
        <w:rPr>
          <w:sz w:val="20"/>
        </w:rPr>
      </w:pPr>
      <w:r>
        <w:rPr>
          <w:sz w:val="20"/>
        </w:rPr>
        <w:t xml:space="preserve">Full details of all satellite projects about which the Coordination Panel is aware can be found at </w:t>
      </w:r>
      <w:hyperlink r:id="rId14" w:history="1">
        <w:r>
          <w:rPr>
            <w:rStyle w:val="Hyperlink"/>
            <w:sz w:val="20"/>
          </w:rPr>
          <w:t>http://www.amsat.org.uk/iaru/</w:t>
        </w:r>
      </w:hyperlink>
      <w:r>
        <w:rPr>
          <w:sz w:val="20"/>
        </w:rPr>
        <w:t xml:space="preserve"> and information about the Coordination process itself is available at </w:t>
      </w:r>
      <w:hyperlink r:id="rId15" w:history="1"/>
      <w:r>
        <w:rPr>
          <w:sz w:val="20"/>
        </w:rPr>
        <w:t xml:space="preserve">  </w:t>
      </w:r>
    </w:p>
    <w:p w14:paraId="03F4D96F" w14:textId="77777777" w:rsidR="00460C84" w:rsidRDefault="00192CA4" w:rsidP="00460C84">
      <w:pPr>
        <w:rPr>
          <w:sz w:val="20"/>
          <w:szCs w:val="20"/>
        </w:rPr>
      </w:pPr>
      <w:hyperlink r:id="rId16" w:history="1">
        <w:r w:rsidR="00460C84" w:rsidRPr="008F3DAB">
          <w:rPr>
            <w:color w:val="0000FF"/>
            <w:sz w:val="20"/>
            <w:szCs w:val="20"/>
            <w:u w:val="single"/>
          </w:rPr>
          <w:t>https://www.iaru.org/on-the-air/satellites/</w:t>
        </w:r>
      </w:hyperlink>
    </w:p>
    <w:p w14:paraId="1793F8C0" w14:textId="1A2B8590" w:rsidR="00460C84" w:rsidRDefault="00460C84" w:rsidP="00460C84">
      <w:pPr>
        <w:rPr>
          <w:sz w:val="20"/>
        </w:rPr>
      </w:pPr>
    </w:p>
    <w:p w14:paraId="22BA8C6F" w14:textId="77777777" w:rsidR="00460C84" w:rsidRDefault="00460C84" w:rsidP="00460C84">
      <w:pPr>
        <w:pStyle w:val="Heading2"/>
      </w:pPr>
      <w:r>
        <w:t>Education Outreach</w:t>
      </w:r>
    </w:p>
    <w:p w14:paraId="69AA3804" w14:textId="77777777" w:rsidR="00460C84" w:rsidRDefault="00460C84" w:rsidP="00460C84">
      <w:pPr>
        <w:pStyle w:val="NormalWeb"/>
        <w:spacing w:before="240" w:beforeAutospacing="0" w:after="240" w:afterAutospacing="0"/>
        <w:rPr>
          <w:rFonts w:ascii="Arial" w:hAnsi="Arial" w:cs="Arial"/>
          <w:sz w:val="20"/>
        </w:rPr>
      </w:pPr>
      <w:r>
        <w:rPr>
          <w:rFonts w:ascii="Arial" w:hAnsi="Arial" w:cs="Arial"/>
          <w:sz w:val="20"/>
        </w:rPr>
        <w:t>FUNcube-1 (now more than 6 ½ years old!), Nayif-1 and JY1Sat continue to provide telemetry for educational outreach for schools and colleges and a simple omni-directional 145MHz antenna and SDR dongle are all that is required for satisfactory reception. Simple, Windows based, decoders and user interfaces are available for free download.</w:t>
      </w:r>
    </w:p>
    <w:p w14:paraId="4233EC69" w14:textId="77777777" w:rsidR="00460C84" w:rsidRDefault="00460C84" w:rsidP="00460C84">
      <w:pPr>
        <w:pStyle w:val="NormalWeb"/>
        <w:spacing w:before="240" w:beforeAutospacing="0" w:after="240" w:afterAutospacing="0"/>
        <w:rPr>
          <w:rFonts w:ascii="Arial" w:hAnsi="Arial" w:cs="Arial"/>
          <w:sz w:val="20"/>
        </w:rPr>
      </w:pPr>
      <w:r>
        <w:rPr>
          <w:rFonts w:ascii="Arial" w:hAnsi="Arial" w:cs="Arial"/>
          <w:sz w:val="20"/>
        </w:rPr>
        <w:t>More than 1200 stations around the world have been submitting the telemetry data that they have received to the central Data Warehouses.</w:t>
      </w:r>
    </w:p>
    <w:p w14:paraId="5D0154C1" w14:textId="77777777" w:rsidR="00460C84" w:rsidRDefault="00460C84" w:rsidP="00460C84">
      <w:pPr>
        <w:pStyle w:val="NormalWeb"/>
        <w:spacing w:before="240" w:beforeAutospacing="0" w:after="240" w:afterAutospacing="0"/>
        <w:rPr>
          <w:rFonts w:ascii="Arial" w:hAnsi="Arial" w:cs="Arial"/>
          <w:sz w:val="20"/>
        </w:rPr>
      </w:pPr>
      <w:r>
        <w:rPr>
          <w:rFonts w:ascii="Arial" w:hAnsi="Arial" w:cs="Arial"/>
          <w:sz w:val="20"/>
        </w:rPr>
        <w:t xml:space="preserve">Recent developments have included the installation of a simple station in Antarctica at the Neumayr III station. It uses a simple whip antenna, a </w:t>
      </w:r>
      <w:proofErr w:type="spellStart"/>
      <w:r>
        <w:rPr>
          <w:rFonts w:ascii="Arial" w:hAnsi="Arial" w:cs="Arial"/>
          <w:sz w:val="20"/>
        </w:rPr>
        <w:t>FUNcube</w:t>
      </w:r>
      <w:proofErr w:type="spellEnd"/>
      <w:r>
        <w:rPr>
          <w:rFonts w:ascii="Arial" w:hAnsi="Arial" w:cs="Arial"/>
          <w:sz w:val="20"/>
        </w:rPr>
        <w:t xml:space="preserve"> Dongle and a Raspberry Pi based decoder.  The Linux based code for the </w:t>
      </w:r>
      <w:proofErr w:type="spellStart"/>
      <w:r>
        <w:rPr>
          <w:rFonts w:ascii="Arial" w:hAnsi="Arial" w:cs="Arial"/>
          <w:sz w:val="20"/>
        </w:rPr>
        <w:t>Rpi</w:t>
      </w:r>
      <w:proofErr w:type="spellEnd"/>
      <w:r>
        <w:rPr>
          <w:rFonts w:ascii="Arial" w:hAnsi="Arial" w:cs="Arial"/>
          <w:sz w:val="20"/>
        </w:rPr>
        <w:t xml:space="preserve"> has also been released for general use. </w:t>
      </w:r>
    </w:p>
    <w:p w14:paraId="171D5D70" w14:textId="77777777" w:rsidR="00460C84" w:rsidRDefault="00460C84" w:rsidP="00460C84">
      <w:pPr>
        <w:pStyle w:val="NormalWeb"/>
        <w:spacing w:before="240" w:beforeAutospacing="0" w:after="240" w:afterAutospacing="0"/>
        <w:rPr>
          <w:rFonts w:ascii="Arial" w:hAnsi="Arial" w:cs="Arial"/>
          <w:sz w:val="20"/>
        </w:rPr>
      </w:pPr>
      <w:r>
        <w:rPr>
          <w:rFonts w:ascii="Arial" w:hAnsi="Arial" w:cs="Arial"/>
          <w:sz w:val="20"/>
        </w:rPr>
        <w:t xml:space="preserve">The FOX CubeSat programme from AMSAT-NA also provides educational outreach opportunities and is compatible with the </w:t>
      </w:r>
      <w:proofErr w:type="spellStart"/>
      <w:r>
        <w:rPr>
          <w:rFonts w:ascii="Arial" w:hAnsi="Arial" w:cs="Arial"/>
          <w:sz w:val="20"/>
        </w:rPr>
        <w:t>FUNcube</w:t>
      </w:r>
      <w:proofErr w:type="spellEnd"/>
      <w:r>
        <w:rPr>
          <w:rFonts w:ascii="Arial" w:hAnsi="Arial" w:cs="Arial"/>
          <w:sz w:val="20"/>
        </w:rPr>
        <w:t xml:space="preserve"> type receiver systems. </w:t>
      </w:r>
    </w:p>
    <w:p w14:paraId="5C9645B0" w14:textId="77777777" w:rsidR="00460C84" w:rsidRDefault="00460C84" w:rsidP="00460C84">
      <w:pPr>
        <w:rPr>
          <w:sz w:val="20"/>
        </w:rPr>
      </w:pPr>
      <w:r>
        <w:rPr>
          <w:rFonts w:cs="Arial"/>
          <w:sz w:val="20"/>
        </w:rPr>
        <w:t xml:space="preserve"> </w:t>
      </w:r>
      <w:r>
        <w:rPr>
          <w:sz w:val="20"/>
        </w:rPr>
        <w:t xml:space="preserve"> </w:t>
      </w:r>
    </w:p>
    <w:p w14:paraId="6923C215" w14:textId="12AFB2A4" w:rsidR="00460C84" w:rsidRPr="00924277" w:rsidRDefault="00460C84" w:rsidP="00460C84">
      <w:pPr>
        <w:rPr>
          <w:b/>
          <w:sz w:val="20"/>
        </w:rPr>
      </w:pPr>
      <w:r w:rsidRPr="00924277">
        <w:rPr>
          <w:b/>
          <w:sz w:val="20"/>
        </w:rPr>
        <w:t>The International Space Station</w:t>
      </w:r>
    </w:p>
    <w:p w14:paraId="057C8F93" w14:textId="7965026F" w:rsidR="00460C84" w:rsidRDefault="00460C84" w:rsidP="00460C84">
      <w:pPr>
        <w:rPr>
          <w:sz w:val="20"/>
        </w:rPr>
      </w:pPr>
      <w:r>
        <w:rPr>
          <w:sz w:val="20"/>
        </w:rPr>
        <w:t>The ARISS team remain challenged by the equipment failure in the Columbus Module but have continued to organise a large number of contacts between the astronauts and schools using both 145MHz and 435 MHz bands from the Russian module</w:t>
      </w:r>
    </w:p>
    <w:p w14:paraId="169CA93C" w14:textId="77777777" w:rsidR="00460C84" w:rsidRDefault="00460C84" w:rsidP="00460C84">
      <w:pPr>
        <w:rPr>
          <w:sz w:val="20"/>
        </w:rPr>
      </w:pPr>
      <w:r>
        <w:rPr>
          <w:sz w:val="20"/>
        </w:rPr>
        <w:t>At the time of writing a new set of equipment called the IORS (</w:t>
      </w:r>
      <w:proofErr w:type="spellStart"/>
      <w:r>
        <w:rPr>
          <w:sz w:val="20"/>
        </w:rPr>
        <w:t>InterOperable</w:t>
      </w:r>
      <w:proofErr w:type="spellEnd"/>
      <w:r>
        <w:rPr>
          <w:sz w:val="20"/>
        </w:rPr>
        <w:t xml:space="preserve"> Radio System) has been delivered to the Station and is awaiting commissioning.  This will enable operations using a Kenwood TMD710 to take place from the Columbus module and for cross-band FM transponder operations, including possible 1260 MHz uplinks, to re-commence. It is hoped this will be enabled sometime later in 2020 and further sets of IORS equipment are being manifested for future launches to ensure redundancy.  The equipment for the </w:t>
      </w:r>
      <w:proofErr w:type="spellStart"/>
      <w:r>
        <w:rPr>
          <w:sz w:val="20"/>
        </w:rPr>
        <w:t>HamTV</w:t>
      </w:r>
      <w:proofErr w:type="spellEnd"/>
      <w:r>
        <w:rPr>
          <w:sz w:val="20"/>
        </w:rPr>
        <w:t xml:space="preserve"> failed and the hardware was returned to earth for repair in 2019. It is presently waiting for final re-certification before being sent back up to space. Again, it is hoped this will take place before the end of 2020 and work continues on the development of a Video identifier module and a Mk2 </w:t>
      </w:r>
      <w:proofErr w:type="spellStart"/>
      <w:r>
        <w:rPr>
          <w:sz w:val="20"/>
        </w:rPr>
        <w:t>HamTV</w:t>
      </w:r>
      <w:proofErr w:type="spellEnd"/>
      <w:r>
        <w:rPr>
          <w:sz w:val="20"/>
        </w:rPr>
        <w:t xml:space="preserve"> system’</w:t>
      </w:r>
    </w:p>
    <w:p w14:paraId="49DFA183" w14:textId="2EA411BB" w:rsidR="00460C84" w:rsidRDefault="00460C84" w:rsidP="00460C84">
      <w:pPr>
        <w:rPr>
          <w:sz w:val="20"/>
        </w:rPr>
      </w:pPr>
      <w:r>
        <w:rPr>
          <w:sz w:val="20"/>
        </w:rPr>
        <w:t xml:space="preserve"> </w:t>
      </w:r>
      <w:r w:rsidRPr="00457B10">
        <w:rPr>
          <w:b/>
          <w:sz w:val="20"/>
        </w:rPr>
        <w:t>Deep</w:t>
      </w:r>
      <w:r>
        <w:rPr>
          <w:b/>
          <w:sz w:val="20"/>
        </w:rPr>
        <w:t>er</w:t>
      </w:r>
      <w:r w:rsidRPr="00457B10">
        <w:rPr>
          <w:b/>
          <w:sz w:val="20"/>
        </w:rPr>
        <w:t xml:space="preserve"> space activities</w:t>
      </w:r>
    </w:p>
    <w:p w14:paraId="014549A5" w14:textId="3B4F1DA6" w:rsidR="00460C84" w:rsidRDefault="00460C84" w:rsidP="00460C84">
      <w:pPr>
        <w:rPr>
          <w:sz w:val="20"/>
        </w:rPr>
      </w:pPr>
      <w:r>
        <w:rPr>
          <w:sz w:val="20"/>
        </w:rPr>
        <w:t xml:space="preserve">Although the majority of amateur satellites continue to operate from low earth orbit, as mentioned above, they have recently been joined by QO100/Eshail-2 in geostationary orbit. </w:t>
      </w:r>
    </w:p>
    <w:p w14:paraId="0B0C5988" w14:textId="65314FA8" w:rsidR="00460C84" w:rsidRPr="00460C84" w:rsidRDefault="00460C84" w:rsidP="00460C84">
      <w:pPr>
        <w:rPr>
          <w:sz w:val="20"/>
        </w:rPr>
      </w:pPr>
      <w:r>
        <w:rPr>
          <w:sz w:val="20"/>
        </w:rPr>
        <w:lastRenderedPageBreak/>
        <w:t>The ARISS International team presently working on the development of an amateur radio system to mounted on the outside of the Lunar Gateway Mission modules. Lunar Gateway is planned to operate in a highly elliptical HALO orbit around the moon and is not expected to be crewed on a continuous basis. The current intention is to fly a low data rate system on 435 MHz and a more sophisticated, digital, transponder using 5.6 GHz for uplinks and 10.45 GHz for downlinks. Link budget simulations baseline a ground setup using a 1.2 metre dish.</w:t>
      </w:r>
    </w:p>
    <w:p w14:paraId="1107AF79" w14:textId="2FC9BE84" w:rsidR="00460C84" w:rsidRDefault="00460C84" w:rsidP="00460C84">
      <w:pPr>
        <w:rPr>
          <w:rFonts w:cs="Arial"/>
          <w:color w:val="000000"/>
          <w:sz w:val="20"/>
          <w:szCs w:val="20"/>
        </w:rPr>
      </w:pPr>
      <w:r>
        <w:rPr>
          <w:rFonts w:cs="Arial"/>
          <w:color w:val="000000"/>
          <w:sz w:val="20"/>
          <w:szCs w:val="20"/>
        </w:rPr>
        <w:t xml:space="preserve">Graham </w:t>
      </w:r>
      <w:proofErr w:type="spellStart"/>
      <w:r>
        <w:rPr>
          <w:rFonts w:cs="Arial"/>
          <w:color w:val="000000"/>
          <w:sz w:val="20"/>
          <w:szCs w:val="20"/>
        </w:rPr>
        <w:t>Shirville</w:t>
      </w:r>
      <w:proofErr w:type="spellEnd"/>
      <w:r>
        <w:rPr>
          <w:rFonts w:cs="Arial"/>
          <w:color w:val="000000"/>
          <w:sz w:val="20"/>
          <w:szCs w:val="20"/>
        </w:rPr>
        <w:t xml:space="preserve"> G3VZV</w:t>
      </w:r>
    </w:p>
    <w:p w14:paraId="6EE37EE9" w14:textId="77777777" w:rsidR="00460C84" w:rsidRPr="00053F10" w:rsidRDefault="00460C84" w:rsidP="00460C84">
      <w:pPr>
        <w:rPr>
          <w:rFonts w:cs="Arial"/>
          <w:color w:val="000000"/>
          <w:sz w:val="20"/>
          <w:szCs w:val="20"/>
        </w:rPr>
      </w:pPr>
      <w:proofErr w:type="gramStart"/>
      <w:r>
        <w:rPr>
          <w:rFonts w:cs="Arial"/>
          <w:color w:val="000000"/>
          <w:sz w:val="20"/>
          <w:szCs w:val="20"/>
        </w:rPr>
        <w:t>July  2020</w:t>
      </w:r>
      <w:proofErr w:type="gramEnd"/>
    </w:p>
    <w:p w14:paraId="28889533" w14:textId="77777777" w:rsidR="00460C84" w:rsidRDefault="00460C84" w:rsidP="00460C84">
      <w:pPr>
        <w:rPr>
          <w:sz w:val="20"/>
        </w:rPr>
      </w:pPr>
    </w:p>
    <w:p w14:paraId="12F6A887" w14:textId="77777777" w:rsidR="00175E07" w:rsidRDefault="00175E07" w:rsidP="00175E07">
      <w:pPr>
        <w:pStyle w:val="NoSpacing"/>
      </w:pPr>
    </w:p>
    <w:p w14:paraId="7D231BB4" w14:textId="3BA82521" w:rsidR="001C7371" w:rsidRPr="001C7371" w:rsidRDefault="001C7371" w:rsidP="00BA3FBF">
      <w:pPr>
        <w:contextualSpacing/>
        <w:rPr>
          <w:rFonts w:cstheme="minorHAnsi"/>
          <w:b/>
          <w:bCs/>
          <w:color w:val="000000"/>
          <w:sz w:val="24"/>
          <w:szCs w:val="24"/>
          <w:shd w:val="clear" w:color="auto" w:fill="FFFFFF"/>
          <w:lang w:eastAsia="en-GB"/>
        </w:rPr>
      </w:pPr>
    </w:p>
    <w:sectPr w:rsidR="001C7371" w:rsidRPr="001C7371" w:rsidSect="00A768E0">
      <w:head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403735" w14:textId="77777777" w:rsidR="00192CA4" w:rsidRDefault="00192CA4" w:rsidP="00A768E0">
      <w:pPr>
        <w:spacing w:after="0" w:line="240" w:lineRule="auto"/>
      </w:pPr>
      <w:r>
        <w:separator/>
      </w:r>
    </w:p>
  </w:endnote>
  <w:endnote w:type="continuationSeparator" w:id="0">
    <w:p w14:paraId="225C7FB5" w14:textId="77777777" w:rsidR="00192CA4" w:rsidRDefault="00192CA4" w:rsidP="00A76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825D83" w14:textId="77777777" w:rsidR="00192CA4" w:rsidRDefault="00192CA4" w:rsidP="00A768E0">
      <w:pPr>
        <w:spacing w:after="0" w:line="240" w:lineRule="auto"/>
      </w:pPr>
      <w:r>
        <w:separator/>
      </w:r>
    </w:p>
  </w:footnote>
  <w:footnote w:type="continuationSeparator" w:id="0">
    <w:p w14:paraId="559A885B" w14:textId="77777777" w:rsidR="00192CA4" w:rsidRDefault="00192CA4" w:rsidP="00A768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2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
      <w:gridCol w:w="8293"/>
      <w:gridCol w:w="974"/>
    </w:tblGrid>
    <w:tr w:rsidR="00A768E0" w14:paraId="6B74951C" w14:textId="77777777" w:rsidTr="002C7A0B">
      <w:trPr>
        <w:trHeight w:val="1268"/>
        <w:jc w:val="center"/>
      </w:trPr>
      <w:tc>
        <w:tcPr>
          <w:tcW w:w="994" w:type="dxa"/>
        </w:tcPr>
        <w:p w14:paraId="6A4FE9AD" w14:textId="77777777" w:rsidR="00A768E0" w:rsidRDefault="00A768E0" w:rsidP="00A768E0">
          <w:pPr>
            <w:rPr>
              <w:rFonts w:asciiTheme="minorHAnsi" w:hAnsiTheme="minorHAnsi"/>
              <w:sz w:val="22"/>
              <w:szCs w:val="22"/>
            </w:rPr>
          </w:pPr>
          <w:r>
            <w:rPr>
              <w:noProof/>
              <w:lang w:eastAsia="en-GB"/>
            </w:rPr>
            <w:drawing>
              <wp:inline distT="0" distB="0" distL="0" distR="0" wp14:anchorId="0811393B" wp14:editId="17CD5352">
                <wp:extent cx="457200" cy="87782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ARU-logo.jpg"/>
                        <pic:cNvPicPr/>
                      </pic:nvPicPr>
                      <pic:blipFill>
                        <a:blip r:embed="rId1">
                          <a:extLst>
                            <a:ext uri="{28A0092B-C50C-407E-A947-70E740481C1C}">
                              <a14:useLocalDpi xmlns:a14="http://schemas.microsoft.com/office/drawing/2010/main" val="0"/>
                            </a:ext>
                          </a:extLst>
                        </a:blip>
                        <a:stretch>
                          <a:fillRect/>
                        </a:stretch>
                      </pic:blipFill>
                      <pic:spPr>
                        <a:xfrm>
                          <a:off x="0" y="0"/>
                          <a:ext cx="469849" cy="902110"/>
                        </a:xfrm>
                        <a:prstGeom prst="rect">
                          <a:avLst/>
                        </a:prstGeom>
                      </pic:spPr>
                    </pic:pic>
                  </a:graphicData>
                </a:graphic>
              </wp:inline>
            </w:drawing>
          </w:r>
        </w:p>
      </w:tc>
      <w:tc>
        <w:tcPr>
          <w:tcW w:w="8293" w:type="dxa"/>
        </w:tcPr>
        <w:p w14:paraId="16C486D0" w14:textId="77777777" w:rsidR="00A768E0" w:rsidRDefault="00A768E0" w:rsidP="00A768E0">
          <w:pPr>
            <w:jc w:val="center"/>
            <w:rPr>
              <w:b/>
              <w:bCs/>
              <w:color w:val="000099"/>
              <w:sz w:val="36"/>
            </w:rPr>
          </w:pPr>
          <w:r w:rsidRPr="00D548F5">
            <w:rPr>
              <w:b/>
              <w:bCs/>
              <w:color w:val="000099"/>
              <w:sz w:val="36"/>
            </w:rPr>
            <w:t>International Amateur Radio Union Region 1</w:t>
          </w:r>
        </w:p>
        <w:p w14:paraId="0C74A1CC" w14:textId="06025FD5" w:rsidR="00A768E0" w:rsidRDefault="00A768E0" w:rsidP="00A768E0">
          <w:pPr>
            <w:jc w:val="center"/>
            <w:rPr>
              <w:b/>
              <w:bCs/>
              <w:color w:val="000099"/>
              <w:sz w:val="36"/>
            </w:rPr>
          </w:pPr>
          <w:r>
            <w:rPr>
              <w:b/>
              <w:bCs/>
              <w:color w:val="000099"/>
              <w:sz w:val="36"/>
            </w:rPr>
            <w:t xml:space="preserve">2020 General Conference </w:t>
          </w:r>
          <w:r w:rsidR="005E590F">
            <w:rPr>
              <w:b/>
              <w:bCs/>
              <w:color w:val="000099"/>
              <w:sz w:val="36"/>
            </w:rPr>
            <w:t>–</w:t>
          </w:r>
          <w:r>
            <w:rPr>
              <w:b/>
              <w:bCs/>
              <w:color w:val="000099"/>
              <w:sz w:val="36"/>
            </w:rPr>
            <w:t xml:space="preserve"> </w:t>
          </w:r>
          <w:r w:rsidR="005E590F">
            <w:rPr>
              <w:b/>
              <w:bCs/>
              <w:color w:val="000099"/>
              <w:sz w:val="36"/>
            </w:rPr>
            <w:t>Virtual Part</w:t>
          </w:r>
        </w:p>
        <w:p w14:paraId="716FC67B" w14:textId="77777777" w:rsidR="00A768E0" w:rsidRPr="009C320C" w:rsidRDefault="00A768E0" w:rsidP="00A768E0">
          <w:pPr>
            <w:jc w:val="center"/>
            <w:rPr>
              <w:b/>
              <w:bCs/>
              <w:color w:val="000099"/>
              <w:sz w:val="36"/>
            </w:rPr>
          </w:pPr>
          <w:r>
            <w:rPr>
              <w:b/>
              <w:bCs/>
              <w:color w:val="000099"/>
              <w:sz w:val="36"/>
            </w:rPr>
            <w:t>11-16 October 2020</w:t>
          </w:r>
        </w:p>
      </w:tc>
      <w:tc>
        <w:tcPr>
          <w:tcW w:w="974" w:type="dxa"/>
        </w:tcPr>
        <w:p w14:paraId="681E3F70" w14:textId="5F3D0D41" w:rsidR="00A768E0" w:rsidRDefault="00A768E0" w:rsidP="00A768E0">
          <w:pPr>
            <w:rPr>
              <w:rFonts w:asciiTheme="minorHAnsi" w:hAnsiTheme="minorHAnsi"/>
              <w:sz w:val="22"/>
              <w:szCs w:val="22"/>
            </w:rPr>
          </w:pPr>
        </w:p>
      </w:tc>
    </w:tr>
  </w:tbl>
  <w:p w14:paraId="086DEF62" w14:textId="77777777" w:rsidR="00A768E0" w:rsidRDefault="00A768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50711F"/>
    <w:multiLevelType w:val="hybridMultilevel"/>
    <w:tmpl w:val="F46A1A6E"/>
    <w:lvl w:ilvl="0" w:tplc="D1AC68AA">
      <w:start w:val="1"/>
      <w:numFmt w:val="decimal"/>
      <w:lvlText w:val="%1"/>
      <w:lvlJc w:val="left"/>
      <w:pPr>
        <w:ind w:left="960" w:hanging="9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726964F7"/>
    <w:multiLevelType w:val="hybridMultilevel"/>
    <w:tmpl w:val="27460A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CA5D2E"/>
    <w:multiLevelType w:val="hybridMultilevel"/>
    <w:tmpl w:val="2598B9F4"/>
    <w:lvl w:ilvl="0" w:tplc="FF3083C8">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FBF"/>
    <w:rsid w:val="000A1E94"/>
    <w:rsid w:val="001474F0"/>
    <w:rsid w:val="00175E07"/>
    <w:rsid w:val="00192CA4"/>
    <w:rsid w:val="001C7371"/>
    <w:rsid w:val="002333E1"/>
    <w:rsid w:val="00261CD4"/>
    <w:rsid w:val="002D5FA9"/>
    <w:rsid w:val="003A144A"/>
    <w:rsid w:val="00456E20"/>
    <w:rsid w:val="00460C84"/>
    <w:rsid w:val="004648D9"/>
    <w:rsid w:val="00486482"/>
    <w:rsid w:val="00536199"/>
    <w:rsid w:val="005B0734"/>
    <w:rsid w:val="005C4942"/>
    <w:rsid w:val="005E590F"/>
    <w:rsid w:val="00640A7E"/>
    <w:rsid w:val="00785C29"/>
    <w:rsid w:val="00860C3A"/>
    <w:rsid w:val="008E7C5B"/>
    <w:rsid w:val="008F1698"/>
    <w:rsid w:val="00903F48"/>
    <w:rsid w:val="00921FC2"/>
    <w:rsid w:val="00961DAE"/>
    <w:rsid w:val="00A768E0"/>
    <w:rsid w:val="00B22373"/>
    <w:rsid w:val="00B32656"/>
    <w:rsid w:val="00B71E93"/>
    <w:rsid w:val="00BA3FBF"/>
    <w:rsid w:val="00C745B4"/>
    <w:rsid w:val="00C95CEB"/>
    <w:rsid w:val="00CD0635"/>
    <w:rsid w:val="00CD0AF6"/>
    <w:rsid w:val="00D34C32"/>
    <w:rsid w:val="00DA175E"/>
    <w:rsid w:val="00DA2909"/>
    <w:rsid w:val="00DB4D72"/>
    <w:rsid w:val="00E47D6E"/>
    <w:rsid w:val="00EC17F9"/>
    <w:rsid w:val="00F2516C"/>
    <w:rsid w:val="00FB6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023DA"/>
  <w15:chartTrackingRefBased/>
  <w15:docId w15:val="{E037AD34-1ACA-4AB3-9001-5CB420F3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FBF"/>
  </w:style>
  <w:style w:type="paragraph" w:styleId="Heading1">
    <w:name w:val="heading 1"/>
    <w:basedOn w:val="Normal"/>
    <w:next w:val="Normal"/>
    <w:link w:val="Heading1Char"/>
    <w:qFormat/>
    <w:rsid w:val="00460C84"/>
    <w:pPr>
      <w:keepNext/>
      <w:spacing w:after="0" w:line="240" w:lineRule="auto"/>
      <w:outlineLvl w:val="0"/>
    </w:pPr>
    <w:rPr>
      <w:rFonts w:ascii="Arial" w:eastAsia="Times New Roman" w:hAnsi="Arial" w:cs="Times New Roman"/>
      <w:b/>
      <w:bCs/>
      <w:sz w:val="24"/>
      <w:szCs w:val="24"/>
    </w:rPr>
  </w:style>
  <w:style w:type="paragraph" w:styleId="Heading2">
    <w:name w:val="heading 2"/>
    <w:basedOn w:val="Normal"/>
    <w:next w:val="Normal"/>
    <w:link w:val="Heading2Char"/>
    <w:qFormat/>
    <w:rsid w:val="00460C84"/>
    <w:pPr>
      <w:keepNext/>
      <w:spacing w:after="0" w:line="240" w:lineRule="auto"/>
      <w:outlineLvl w:val="1"/>
    </w:pPr>
    <w:rPr>
      <w:rFonts w:ascii="Arial" w:eastAsia="Times New Roman" w:hAnsi="Arial" w:cs="Times New Roman"/>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3FBF"/>
    <w:pPr>
      <w:spacing w:before="100" w:beforeAutospacing="1" w:after="100" w:afterAutospacing="1" w:line="240" w:lineRule="auto"/>
    </w:pPr>
    <w:rPr>
      <w:rFonts w:ascii="Calibri" w:hAnsi="Calibri" w:cs="Calibri"/>
      <w:lang w:eastAsia="en-GB"/>
    </w:rPr>
  </w:style>
  <w:style w:type="character" w:styleId="CommentReference">
    <w:name w:val="annotation reference"/>
    <w:basedOn w:val="DefaultParagraphFont"/>
    <w:uiPriority w:val="99"/>
    <w:semiHidden/>
    <w:unhideWhenUsed/>
    <w:rsid w:val="00961DAE"/>
    <w:rPr>
      <w:sz w:val="16"/>
      <w:szCs w:val="16"/>
    </w:rPr>
  </w:style>
  <w:style w:type="paragraph" w:styleId="CommentText">
    <w:name w:val="annotation text"/>
    <w:basedOn w:val="Normal"/>
    <w:link w:val="CommentTextChar"/>
    <w:uiPriority w:val="99"/>
    <w:semiHidden/>
    <w:unhideWhenUsed/>
    <w:rsid w:val="00961DAE"/>
    <w:pPr>
      <w:spacing w:line="240" w:lineRule="auto"/>
    </w:pPr>
    <w:rPr>
      <w:sz w:val="20"/>
      <w:szCs w:val="20"/>
    </w:rPr>
  </w:style>
  <w:style w:type="character" w:customStyle="1" w:styleId="CommentTextChar">
    <w:name w:val="Comment Text Char"/>
    <w:basedOn w:val="DefaultParagraphFont"/>
    <w:link w:val="CommentText"/>
    <w:uiPriority w:val="99"/>
    <w:semiHidden/>
    <w:rsid w:val="00961DAE"/>
    <w:rPr>
      <w:sz w:val="20"/>
      <w:szCs w:val="20"/>
    </w:rPr>
  </w:style>
  <w:style w:type="paragraph" w:styleId="CommentSubject">
    <w:name w:val="annotation subject"/>
    <w:basedOn w:val="CommentText"/>
    <w:next w:val="CommentText"/>
    <w:link w:val="CommentSubjectChar"/>
    <w:uiPriority w:val="99"/>
    <w:semiHidden/>
    <w:unhideWhenUsed/>
    <w:rsid w:val="00961DAE"/>
    <w:rPr>
      <w:b/>
      <w:bCs/>
    </w:rPr>
  </w:style>
  <w:style w:type="character" w:customStyle="1" w:styleId="CommentSubjectChar">
    <w:name w:val="Comment Subject Char"/>
    <w:basedOn w:val="CommentTextChar"/>
    <w:link w:val="CommentSubject"/>
    <w:uiPriority w:val="99"/>
    <w:semiHidden/>
    <w:rsid w:val="00961DAE"/>
    <w:rPr>
      <w:b/>
      <w:bCs/>
      <w:sz w:val="20"/>
      <w:szCs w:val="20"/>
    </w:rPr>
  </w:style>
  <w:style w:type="paragraph" w:styleId="BalloonText">
    <w:name w:val="Balloon Text"/>
    <w:basedOn w:val="Normal"/>
    <w:link w:val="BalloonTextChar"/>
    <w:uiPriority w:val="99"/>
    <w:semiHidden/>
    <w:unhideWhenUsed/>
    <w:rsid w:val="00961D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DAE"/>
    <w:rPr>
      <w:rFonts w:ascii="Segoe UI" w:hAnsi="Segoe UI" w:cs="Segoe UI"/>
      <w:sz w:val="18"/>
      <w:szCs w:val="18"/>
    </w:rPr>
  </w:style>
  <w:style w:type="paragraph" w:styleId="Header">
    <w:name w:val="header"/>
    <w:basedOn w:val="Normal"/>
    <w:link w:val="HeaderChar"/>
    <w:uiPriority w:val="99"/>
    <w:unhideWhenUsed/>
    <w:rsid w:val="00A768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68E0"/>
  </w:style>
  <w:style w:type="paragraph" w:styleId="Footer">
    <w:name w:val="footer"/>
    <w:basedOn w:val="Normal"/>
    <w:link w:val="FooterChar"/>
    <w:uiPriority w:val="99"/>
    <w:unhideWhenUsed/>
    <w:rsid w:val="00A768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8E0"/>
  </w:style>
  <w:style w:type="table" w:styleId="TableGrid">
    <w:name w:val="Table Grid"/>
    <w:basedOn w:val="TableNormal"/>
    <w:uiPriority w:val="59"/>
    <w:rsid w:val="00A768E0"/>
    <w:pPr>
      <w:spacing w:after="0" w:line="240" w:lineRule="auto"/>
    </w:pPr>
    <w:rPr>
      <w:rFonts w:ascii="Arial" w:hAnsi="Arial" w:cs="Arial"/>
      <w:sz w:val="24"/>
      <w:szCs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75E07"/>
    <w:rPr>
      <w:color w:val="0000FF"/>
      <w:u w:val="single"/>
    </w:rPr>
  </w:style>
  <w:style w:type="paragraph" w:customStyle="1" w:styleId="Default">
    <w:name w:val="Default"/>
    <w:rsid w:val="00175E07"/>
    <w:pPr>
      <w:autoSpaceDE w:val="0"/>
      <w:autoSpaceDN w:val="0"/>
      <w:adjustRightInd w:val="0"/>
      <w:spacing w:after="0" w:line="240" w:lineRule="auto"/>
    </w:pPr>
    <w:rPr>
      <w:rFonts w:ascii="Arial" w:eastAsia="Times New Roman" w:hAnsi="Arial" w:cs="Arial"/>
      <w:color w:val="000000"/>
      <w:sz w:val="24"/>
      <w:szCs w:val="24"/>
      <w:lang w:val="en-ZA" w:eastAsia="en-ZA"/>
    </w:rPr>
  </w:style>
  <w:style w:type="paragraph" w:styleId="NoSpacing">
    <w:name w:val="No Spacing"/>
    <w:uiPriority w:val="1"/>
    <w:qFormat/>
    <w:rsid w:val="00175E07"/>
    <w:pPr>
      <w:spacing w:after="0" w:line="240" w:lineRule="auto"/>
    </w:pPr>
    <w:rPr>
      <w:lang w:val="en-US"/>
    </w:rPr>
  </w:style>
  <w:style w:type="character" w:styleId="FollowedHyperlink">
    <w:name w:val="FollowedHyperlink"/>
    <w:basedOn w:val="DefaultParagraphFont"/>
    <w:uiPriority w:val="99"/>
    <w:semiHidden/>
    <w:unhideWhenUsed/>
    <w:rsid w:val="00175E07"/>
    <w:rPr>
      <w:color w:val="954F72" w:themeColor="followedHyperlink"/>
      <w:u w:val="single"/>
    </w:rPr>
  </w:style>
  <w:style w:type="character" w:customStyle="1" w:styleId="Heading1Char">
    <w:name w:val="Heading 1 Char"/>
    <w:basedOn w:val="DefaultParagraphFont"/>
    <w:link w:val="Heading1"/>
    <w:rsid w:val="00460C84"/>
    <w:rPr>
      <w:rFonts w:ascii="Arial" w:eastAsia="Times New Roman" w:hAnsi="Arial" w:cs="Times New Roman"/>
      <w:b/>
      <w:bCs/>
      <w:sz w:val="24"/>
      <w:szCs w:val="24"/>
    </w:rPr>
  </w:style>
  <w:style w:type="character" w:customStyle="1" w:styleId="Heading2Char">
    <w:name w:val="Heading 2 Char"/>
    <w:basedOn w:val="DefaultParagraphFont"/>
    <w:link w:val="Heading2"/>
    <w:rsid w:val="00460C84"/>
    <w:rPr>
      <w:rFonts w:ascii="Arial" w:eastAsia="Times New Roman" w:hAnsi="Arial" w:cs="Times New Roman"/>
      <w:b/>
      <w:bCs/>
      <w:sz w:val="20"/>
      <w:szCs w:val="24"/>
    </w:rPr>
  </w:style>
  <w:style w:type="paragraph" w:styleId="NormalWeb">
    <w:name w:val="Normal (Web)"/>
    <w:basedOn w:val="Normal"/>
    <w:uiPriority w:val="99"/>
    <w:unhideWhenUsed/>
    <w:rsid w:val="00460C8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k3wn.info/p/?page_id=29535" TargetMode="External"/><Relationship Id="rId13" Type="http://schemas.openxmlformats.org/officeDocument/2006/relationships/hyperlink" Target="https://amsat-dl.org/p4-a-wb-transponder-bandplan-and-operating-guidelin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msat.org/status/" TargetMode="External"/><Relationship Id="rId12" Type="http://schemas.openxmlformats.org/officeDocument/2006/relationships/hyperlink" Target="https://amsat-dl.org/p4-a-nb-transponder-bandplan-and-operating-guideline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aru.org/on-the-air/satellit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iaru.org/satelllite.html"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amsat.org.uk/ia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1445</Words>
  <Characters>8243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Beattie</dc:creator>
  <cp:keywords/>
  <dc:description/>
  <cp:lastModifiedBy>Hans Blondeel Timmerman</cp:lastModifiedBy>
  <cp:revision>3</cp:revision>
  <dcterms:created xsi:type="dcterms:W3CDTF">2020-06-29T18:14:00Z</dcterms:created>
  <dcterms:modified xsi:type="dcterms:W3CDTF">2020-06-29T18:17:00Z</dcterms:modified>
</cp:coreProperties>
</file>